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284" w:type="dxa"/>
        <w:tblLook w:val="04A0" w:firstRow="1" w:lastRow="0" w:firstColumn="1" w:lastColumn="0" w:noHBand="0" w:noVBand="1"/>
      </w:tblPr>
      <w:tblGrid>
        <w:gridCol w:w="2515"/>
        <w:gridCol w:w="11769"/>
      </w:tblGrid>
      <w:tr w:rsidR="00956845" w14:paraId="6F4AAF10" w14:textId="77777777" w:rsidTr="00245279">
        <w:trPr>
          <w:trHeight w:val="9503"/>
        </w:trPr>
        <w:tc>
          <w:tcPr>
            <w:tcW w:w="2515" w:type="dxa"/>
          </w:tcPr>
          <w:p w14:paraId="65FBFCD9" w14:textId="77777777" w:rsidR="00956845" w:rsidRPr="005B7B31" w:rsidRDefault="00956845" w:rsidP="00956845">
            <w:pPr>
              <w:pStyle w:val="ListParagraph"/>
              <w:numPr>
                <w:ilvl w:val="0"/>
                <w:numId w:val="1"/>
              </w:numPr>
              <w:rPr>
                <w:rFonts w:ascii="Calibri" w:hAnsi="Calibri" w:cs="Calibri"/>
                <w:b/>
                <w:bCs/>
                <w:color w:val="156082" w:themeColor="accent1"/>
              </w:rPr>
            </w:pPr>
            <w:r w:rsidRPr="005B7B31">
              <w:rPr>
                <w:rFonts w:ascii="Calibri" w:hAnsi="Calibri" w:cs="Calibri"/>
                <w:b/>
                <w:bCs/>
                <w:color w:val="156082" w:themeColor="accent1"/>
              </w:rPr>
              <w:t>General</w:t>
            </w:r>
            <w:r>
              <w:rPr>
                <w:rFonts w:ascii="Calibri" w:hAnsi="Calibri" w:cs="Calibri"/>
                <w:b/>
                <w:bCs/>
                <w:color w:val="156082" w:themeColor="accent1"/>
              </w:rPr>
              <w:t xml:space="preserve"> Comment</w:t>
            </w:r>
          </w:p>
          <w:p w14:paraId="589701D7" w14:textId="77777777" w:rsidR="00956845" w:rsidRPr="005B7B31" w:rsidRDefault="00956845" w:rsidP="00245279">
            <w:pPr>
              <w:rPr>
                <w:rFonts w:ascii="Calibri" w:hAnsi="Calibri" w:cs="Calibri"/>
                <w:b/>
                <w:bCs/>
                <w:color w:val="156082" w:themeColor="accent1"/>
              </w:rPr>
            </w:pPr>
          </w:p>
        </w:tc>
        <w:tc>
          <w:tcPr>
            <w:tcW w:w="11769" w:type="dxa"/>
          </w:tcPr>
          <w:p w14:paraId="428B776D" w14:textId="526B4F43" w:rsidR="006C6C2B" w:rsidRDefault="00956845" w:rsidP="00245279">
            <w:pPr>
              <w:pStyle w:val="ListParagraph"/>
              <w:spacing w:after="120"/>
              <w:ind w:left="0"/>
              <w:rPr>
                <w:rFonts w:ascii="Calibri" w:hAnsi="Calibri" w:cs="Calibri"/>
              </w:rPr>
            </w:pPr>
            <w:r>
              <w:rPr>
                <w:rFonts w:ascii="Calibri" w:hAnsi="Calibri" w:cs="Calibri"/>
              </w:rPr>
              <w:t>The International Society for Pharmaceutical Engineering (</w:t>
            </w:r>
            <w:r w:rsidRPr="009A2A5B">
              <w:rPr>
                <w:rFonts w:ascii="Calibri" w:hAnsi="Calibri" w:cs="Calibri"/>
              </w:rPr>
              <w:t>ISPE</w:t>
            </w:r>
            <w:r>
              <w:rPr>
                <w:rFonts w:ascii="Calibri" w:hAnsi="Calibri" w:cs="Calibri"/>
              </w:rPr>
              <w:t>)</w:t>
            </w:r>
            <w:r w:rsidRPr="009A2A5B">
              <w:rPr>
                <w:rFonts w:ascii="Calibri" w:hAnsi="Calibri" w:cs="Calibri"/>
              </w:rPr>
              <w:t xml:space="preserve"> </w:t>
            </w:r>
            <w:r w:rsidR="006C6C2B">
              <w:rPr>
                <w:rFonts w:ascii="Calibri" w:hAnsi="Calibri" w:cs="Calibri"/>
              </w:rPr>
              <w:t xml:space="preserve">Drug Shortages Initiative Team </w:t>
            </w:r>
            <w:r w:rsidRPr="009A2A5B">
              <w:rPr>
                <w:rFonts w:ascii="Calibri" w:hAnsi="Calibri" w:cs="Calibri"/>
              </w:rPr>
              <w:t>appreciates the opportunity to provide comments on the Health Canada Regulations Amending Certain Regulations Made Under the Food and Drugs Act (Shortages and Discontinuation of Sale of Drugs and Medical Devices)</w:t>
            </w:r>
            <w:r w:rsidR="00306FE1">
              <w:rPr>
                <w:rFonts w:ascii="Calibri" w:hAnsi="Calibri" w:cs="Calibri"/>
              </w:rPr>
              <w:t xml:space="preserve"> </w:t>
            </w:r>
            <w:r w:rsidR="006C6C2B">
              <w:rPr>
                <w:rFonts w:ascii="Calibri" w:hAnsi="Calibri" w:cs="Calibri"/>
              </w:rPr>
              <w:t xml:space="preserve">and commends Health Canada’s efforts </w:t>
            </w:r>
            <w:r w:rsidRPr="009A2A5B">
              <w:rPr>
                <w:rFonts w:ascii="Calibri" w:hAnsi="Calibri" w:cs="Calibri"/>
              </w:rPr>
              <w:t xml:space="preserve">to increase supply resiliency for the Canadian market. </w:t>
            </w:r>
            <w:r w:rsidR="006C6C2B">
              <w:rPr>
                <w:rFonts w:ascii="Calibri" w:hAnsi="Calibri" w:cs="Calibri"/>
              </w:rPr>
              <w:t>Since 2012, ISPE has</w:t>
            </w:r>
            <w:r w:rsidR="006C6C2B" w:rsidRPr="006C6C2B">
              <w:rPr>
                <w:rFonts w:ascii="Calibri" w:hAnsi="Calibri" w:cs="Calibri"/>
              </w:rPr>
              <w:t xml:space="preserve"> assist</w:t>
            </w:r>
            <w:r w:rsidR="006C6C2B">
              <w:rPr>
                <w:rFonts w:ascii="Calibri" w:hAnsi="Calibri" w:cs="Calibri"/>
              </w:rPr>
              <w:t>ed</w:t>
            </w:r>
            <w:r w:rsidR="006C6C2B" w:rsidRPr="006C6C2B">
              <w:rPr>
                <w:rFonts w:ascii="Calibri" w:hAnsi="Calibri" w:cs="Calibri"/>
              </w:rPr>
              <w:t xml:space="preserve"> industry</w:t>
            </w:r>
            <w:r w:rsidR="006C6C2B">
              <w:rPr>
                <w:rFonts w:ascii="Calibri" w:hAnsi="Calibri" w:cs="Calibri"/>
              </w:rPr>
              <w:t xml:space="preserve"> </w:t>
            </w:r>
            <w:r w:rsidR="006C6C2B" w:rsidRPr="006C6C2B">
              <w:rPr>
                <w:rFonts w:ascii="Calibri" w:hAnsi="Calibri" w:cs="Calibri"/>
              </w:rPr>
              <w:t xml:space="preserve">and </w:t>
            </w:r>
            <w:r w:rsidR="006C6C2B">
              <w:rPr>
                <w:rFonts w:ascii="Calibri" w:hAnsi="Calibri" w:cs="Calibri"/>
              </w:rPr>
              <w:t>engaged with regulators</w:t>
            </w:r>
            <w:r w:rsidR="006C6C2B" w:rsidRPr="006C6C2B">
              <w:rPr>
                <w:rFonts w:ascii="Calibri" w:hAnsi="Calibri" w:cs="Calibri"/>
              </w:rPr>
              <w:t xml:space="preserve"> </w:t>
            </w:r>
            <w:r w:rsidR="006C6C2B">
              <w:rPr>
                <w:rFonts w:ascii="Calibri" w:hAnsi="Calibri" w:cs="Calibri"/>
              </w:rPr>
              <w:t>with the goal of reducing</w:t>
            </w:r>
            <w:r w:rsidR="006C6C2B" w:rsidRPr="006C6C2B">
              <w:rPr>
                <w:rFonts w:ascii="Calibri" w:hAnsi="Calibri" w:cs="Calibri"/>
              </w:rPr>
              <w:t xml:space="preserve"> drug shortages globally through technology, quality,</w:t>
            </w:r>
            <w:r w:rsidR="00306FE1">
              <w:rPr>
                <w:rFonts w:ascii="Calibri" w:hAnsi="Calibri" w:cs="Calibri"/>
              </w:rPr>
              <w:t xml:space="preserve"> </w:t>
            </w:r>
            <w:r w:rsidR="006C6C2B" w:rsidRPr="006C6C2B">
              <w:rPr>
                <w:rFonts w:ascii="Calibri" w:hAnsi="Calibri" w:cs="Calibri"/>
              </w:rPr>
              <w:t xml:space="preserve">manufacturing innovation and regulatory compliance. </w:t>
            </w:r>
            <w:r w:rsidR="00715497">
              <w:rPr>
                <w:rFonts w:ascii="Calibri" w:hAnsi="Calibri" w:cs="Calibri"/>
              </w:rPr>
              <w:t>In reviewing the proposed amendments, we were pleased to observe:</w:t>
            </w:r>
          </w:p>
          <w:p w14:paraId="501C67FC" w14:textId="77777777" w:rsidR="00715497" w:rsidRDefault="00715497" w:rsidP="00245279">
            <w:pPr>
              <w:pStyle w:val="ListParagraph"/>
              <w:spacing w:after="120"/>
              <w:ind w:left="0"/>
              <w:rPr>
                <w:rFonts w:ascii="Calibri" w:hAnsi="Calibri" w:cs="Calibri"/>
              </w:rPr>
            </w:pPr>
          </w:p>
          <w:p w14:paraId="5B32E1DE" w14:textId="3C0C6C54" w:rsidR="00715497" w:rsidRPr="00233F15" w:rsidRDefault="00715497" w:rsidP="000B076A">
            <w:pPr>
              <w:pStyle w:val="ListParagraph"/>
              <w:numPr>
                <w:ilvl w:val="0"/>
                <w:numId w:val="7"/>
              </w:numPr>
              <w:spacing w:after="120"/>
              <w:ind w:left="707"/>
              <w:rPr>
                <w:rFonts w:ascii="Calibri" w:hAnsi="Calibri" w:cs="Calibri"/>
              </w:rPr>
            </w:pPr>
            <w:r>
              <w:rPr>
                <w:rFonts w:ascii="Calibri" w:hAnsi="Calibri" w:cs="Calibri"/>
              </w:rPr>
              <w:t xml:space="preserve">expectations </w:t>
            </w:r>
            <w:r w:rsidR="00F2703A">
              <w:rPr>
                <w:rFonts w:ascii="Calibri" w:hAnsi="Calibri" w:cs="Calibri"/>
              </w:rPr>
              <w:t>balanced with respect to the</w:t>
            </w:r>
            <w:r>
              <w:rPr>
                <w:rFonts w:ascii="Calibri" w:hAnsi="Calibri" w:cs="Calibri"/>
              </w:rPr>
              <w:t xml:space="preserve"> critical</w:t>
            </w:r>
            <w:r w:rsidR="00F2703A">
              <w:rPr>
                <w:rFonts w:ascii="Calibri" w:hAnsi="Calibri" w:cs="Calibri"/>
              </w:rPr>
              <w:t xml:space="preserve">ity </w:t>
            </w:r>
            <w:r>
              <w:rPr>
                <w:rFonts w:ascii="Calibri" w:hAnsi="Calibri" w:cs="Calibri"/>
              </w:rPr>
              <w:t>and vulnerab</w:t>
            </w:r>
            <w:r w:rsidR="00F2703A">
              <w:rPr>
                <w:rFonts w:ascii="Calibri" w:hAnsi="Calibri" w:cs="Calibri"/>
              </w:rPr>
              <w:t>ility of drug</w:t>
            </w:r>
            <w:r>
              <w:rPr>
                <w:rFonts w:ascii="Calibri" w:hAnsi="Calibri" w:cs="Calibri"/>
              </w:rPr>
              <w:t xml:space="preserve"> products</w:t>
            </w:r>
          </w:p>
          <w:p w14:paraId="04386F33" w14:textId="255B9B40" w:rsidR="00715497" w:rsidRPr="00245279" w:rsidRDefault="00715497" w:rsidP="000B076A">
            <w:pPr>
              <w:pStyle w:val="ListParagraph"/>
              <w:numPr>
                <w:ilvl w:val="0"/>
                <w:numId w:val="7"/>
              </w:numPr>
              <w:spacing w:after="120"/>
              <w:ind w:left="707"/>
              <w:rPr>
                <w:rFonts w:ascii="Calibri" w:hAnsi="Calibri" w:cs="Calibri"/>
                <w:color w:val="156082" w:themeColor="accent1"/>
              </w:rPr>
            </w:pPr>
            <w:r w:rsidRPr="000B076A">
              <w:rPr>
                <w:rFonts w:ascii="Calibri" w:hAnsi="Calibri" w:cs="Calibri"/>
                <w:color w:val="000000" w:themeColor="text1"/>
              </w:rPr>
              <w:t xml:space="preserve">the acceptance of internationally recognized formats of shortage prevention and mitigation plans which include essential </w:t>
            </w:r>
            <w:r w:rsidR="00F2703A" w:rsidRPr="000B076A">
              <w:rPr>
                <w:rFonts w:ascii="Calibri" w:hAnsi="Calibri" w:cs="Calibri"/>
                <w:color w:val="000000" w:themeColor="text1"/>
              </w:rPr>
              <w:t xml:space="preserve">core </w:t>
            </w:r>
            <w:r w:rsidRPr="000B076A">
              <w:rPr>
                <w:rFonts w:ascii="Calibri" w:hAnsi="Calibri" w:cs="Calibri"/>
                <w:color w:val="000000" w:themeColor="text1"/>
              </w:rPr>
              <w:t xml:space="preserve">elements, and addition of an annex or appendix </w:t>
            </w:r>
            <w:r w:rsidR="001C19D6" w:rsidRPr="000B076A">
              <w:rPr>
                <w:rFonts w:ascii="Calibri" w:hAnsi="Calibri" w:cs="Calibri"/>
                <w:color w:val="000000" w:themeColor="text1"/>
              </w:rPr>
              <w:t>for</w:t>
            </w:r>
            <w:r w:rsidRPr="000B076A">
              <w:rPr>
                <w:rFonts w:ascii="Calibri" w:hAnsi="Calibri" w:cs="Calibri"/>
                <w:color w:val="000000" w:themeColor="text1"/>
              </w:rPr>
              <w:t xml:space="preserve"> shortage risks specific to Canada</w:t>
            </w:r>
            <w:r w:rsidR="001C19D6" w:rsidRPr="000B076A">
              <w:rPr>
                <w:rFonts w:ascii="Calibri" w:hAnsi="Calibri" w:cs="Calibri"/>
                <w:color w:val="000000" w:themeColor="text1"/>
              </w:rPr>
              <w:t>, as needed</w:t>
            </w:r>
          </w:p>
          <w:p w14:paraId="0D6534B2" w14:textId="77777777" w:rsidR="00715497" w:rsidRDefault="00715497" w:rsidP="00245279">
            <w:pPr>
              <w:pStyle w:val="ListParagraph"/>
              <w:spacing w:after="120"/>
              <w:ind w:left="0"/>
              <w:rPr>
                <w:rFonts w:ascii="Calibri" w:hAnsi="Calibri" w:cs="Calibri"/>
              </w:rPr>
            </w:pPr>
          </w:p>
          <w:p w14:paraId="40E0E9F2" w14:textId="0ABF59ED" w:rsidR="00956845" w:rsidRPr="000B076A" w:rsidRDefault="00956845" w:rsidP="000B076A">
            <w:pPr>
              <w:pStyle w:val="ListParagraph"/>
              <w:ind w:left="0"/>
              <w:rPr>
                <w:rFonts w:ascii="Calibri" w:hAnsi="Calibri" w:cs="Calibri"/>
              </w:rPr>
            </w:pPr>
            <w:r w:rsidRPr="00384F32">
              <w:rPr>
                <w:rFonts w:ascii="Calibri" w:hAnsi="Calibri" w:cs="Calibri"/>
              </w:rPr>
              <w:t xml:space="preserve">ISPE </w:t>
            </w:r>
            <w:r w:rsidR="00F2703A">
              <w:rPr>
                <w:rFonts w:ascii="Calibri" w:hAnsi="Calibri" w:cs="Calibri"/>
              </w:rPr>
              <w:t xml:space="preserve">also </w:t>
            </w:r>
            <w:r w:rsidR="00233F15">
              <w:rPr>
                <w:rFonts w:ascii="Calibri" w:hAnsi="Calibri" w:cs="Calibri"/>
              </w:rPr>
              <w:t>thanks</w:t>
            </w:r>
            <w:r w:rsidRPr="00384F32">
              <w:rPr>
                <w:rFonts w:ascii="Calibri" w:hAnsi="Calibri" w:cs="Calibri"/>
              </w:rPr>
              <w:t xml:space="preserve"> </w:t>
            </w:r>
            <w:r w:rsidRPr="000B076A">
              <w:rPr>
                <w:rFonts w:ascii="Calibri" w:hAnsi="Calibri" w:cs="Calibri"/>
              </w:rPr>
              <w:t>Health Canada</w:t>
            </w:r>
            <w:r w:rsidR="00233F15" w:rsidRPr="000B076A">
              <w:rPr>
                <w:rFonts w:ascii="Calibri" w:hAnsi="Calibri" w:cs="Calibri"/>
              </w:rPr>
              <w:t xml:space="preserve"> for the </w:t>
            </w:r>
            <w:r w:rsidRPr="00384F32">
              <w:rPr>
                <w:rFonts w:ascii="Calibri" w:hAnsi="Calibri" w:cs="Calibri"/>
              </w:rPr>
              <w:t xml:space="preserve">reference to </w:t>
            </w:r>
            <w:r w:rsidR="001C19D6">
              <w:rPr>
                <w:rFonts w:ascii="Calibri" w:hAnsi="Calibri" w:cs="Calibri"/>
              </w:rPr>
              <w:t xml:space="preserve">the </w:t>
            </w:r>
            <w:r w:rsidRPr="000B076A">
              <w:rPr>
                <w:rFonts w:ascii="Calibri" w:hAnsi="Calibri" w:cs="Calibri"/>
              </w:rPr>
              <w:t xml:space="preserve">ISPE Drug Shortages Prevention Model (DSPM) </w:t>
            </w:r>
            <w:r w:rsidR="001C19D6" w:rsidRPr="000B076A">
              <w:rPr>
                <w:rFonts w:ascii="Calibri" w:hAnsi="Calibri" w:cs="Calibri"/>
              </w:rPr>
              <w:t>and previous publication</w:t>
            </w:r>
            <w:r w:rsidR="00233F15">
              <w:t>,</w:t>
            </w:r>
            <w:r w:rsidR="001C19D6">
              <w:t xml:space="preserve"> </w:t>
            </w:r>
            <w:hyperlink r:id="rId10" w:history="1">
              <w:r w:rsidRPr="000B076A">
                <w:rPr>
                  <w:rStyle w:val="Hyperlink"/>
                  <w:rFonts w:ascii="Calibri" w:hAnsi="Calibri" w:cs="Calibri"/>
                  <w:i/>
                  <w:iCs/>
                </w:rPr>
                <w:t>Business Continuity Planning to Prevent Drug Shortages</w:t>
              </w:r>
            </w:hyperlink>
            <w:r w:rsidR="001C19D6">
              <w:t xml:space="preserve">. </w:t>
            </w:r>
            <w:r w:rsidR="00233F15" w:rsidRPr="000B076A">
              <w:rPr>
                <w:rFonts w:ascii="Calibri" w:hAnsi="Calibri" w:cs="Calibri"/>
              </w:rPr>
              <w:t>Other ISPE resources that may be of assistance include:</w:t>
            </w:r>
          </w:p>
          <w:p w14:paraId="1AD9CD0E" w14:textId="3A00A1D9" w:rsidR="00956845" w:rsidRPr="00384F32" w:rsidRDefault="00956845" w:rsidP="000B076A">
            <w:pPr>
              <w:rPr>
                <w:rFonts w:ascii="Calibri" w:hAnsi="Calibri" w:cs="Calibri"/>
              </w:rPr>
            </w:pPr>
            <w:r w:rsidRPr="00384F32">
              <w:rPr>
                <w:rFonts w:ascii="Calibri" w:hAnsi="Calibri" w:cs="Calibri"/>
              </w:rPr>
              <w:t xml:space="preserve">  </w:t>
            </w:r>
          </w:p>
          <w:p w14:paraId="58156E00" w14:textId="2597257D" w:rsidR="00233F15" w:rsidRDefault="00233F15" w:rsidP="00233F15">
            <w:pPr>
              <w:pStyle w:val="ListParagraph"/>
              <w:numPr>
                <w:ilvl w:val="1"/>
                <w:numId w:val="6"/>
              </w:numPr>
              <w:spacing w:after="120"/>
              <w:rPr>
                <w:rFonts w:ascii="Calibri" w:hAnsi="Calibri" w:cs="Calibri"/>
              </w:rPr>
            </w:pPr>
            <w:r w:rsidRPr="00384F32">
              <w:rPr>
                <w:rFonts w:ascii="Calibri" w:hAnsi="Calibri" w:cs="Calibri"/>
              </w:rPr>
              <w:t xml:space="preserve">A Quality Risk Management (QRM) Guidance based on the International Conference on Harmonisation (ICH) guideline, Quality Risk Management Q9(R1), </w:t>
            </w:r>
            <w:r>
              <w:rPr>
                <w:rFonts w:ascii="Calibri" w:hAnsi="Calibri" w:cs="Calibri"/>
              </w:rPr>
              <w:t>to be published</w:t>
            </w:r>
            <w:r w:rsidRPr="00384F32">
              <w:rPr>
                <w:rFonts w:ascii="Calibri" w:hAnsi="Calibri" w:cs="Calibri"/>
              </w:rPr>
              <w:t xml:space="preserve"> by ISPE shortly.</w:t>
            </w:r>
          </w:p>
          <w:p w14:paraId="0EDB02E9" w14:textId="3620DD55" w:rsidR="00233F15" w:rsidRPr="000B076A" w:rsidRDefault="00233F15" w:rsidP="00233F15">
            <w:pPr>
              <w:pStyle w:val="ListParagraph"/>
              <w:numPr>
                <w:ilvl w:val="1"/>
                <w:numId w:val="6"/>
              </w:numPr>
              <w:spacing w:after="120"/>
              <w:rPr>
                <w:rFonts w:ascii="Calibri" w:hAnsi="Calibri" w:cs="Calibri"/>
                <w:color w:val="000000" w:themeColor="text1"/>
              </w:rPr>
            </w:pPr>
            <w:r w:rsidRPr="000B076A">
              <w:rPr>
                <w:rFonts w:ascii="Calibri" w:hAnsi="Calibri" w:cs="Calibri"/>
                <w:color w:val="000000" w:themeColor="text1"/>
              </w:rPr>
              <w:t>ISPE Drug Shortages publications</w:t>
            </w:r>
          </w:p>
          <w:p w14:paraId="47FBC883" w14:textId="4E544B64" w:rsidR="00233F15" w:rsidRPr="000B076A" w:rsidRDefault="00233F15" w:rsidP="00233F15">
            <w:pPr>
              <w:pStyle w:val="ListParagraph"/>
              <w:numPr>
                <w:ilvl w:val="2"/>
                <w:numId w:val="6"/>
              </w:numPr>
              <w:spacing w:after="120"/>
              <w:rPr>
                <w:rFonts w:ascii="Calibri" w:hAnsi="Calibri" w:cs="Calibri"/>
                <w:i/>
                <w:iCs/>
              </w:rPr>
            </w:pPr>
            <w:hyperlink r:id="rId11" w:history="1">
              <w:r w:rsidRPr="000B076A">
                <w:rPr>
                  <w:rStyle w:val="Hyperlink"/>
                  <w:i/>
                  <w:iCs/>
                </w:rPr>
                <w:t xml:space="preserve">A Holistic Mindset is Key to Supply Resiliency </w:t>
              </w:r>
            </w:hyperlink>
            <w:r w:rsidRPr="000B076A">
              <w:rPr>
                <w:rFonts w:ascii="Calibri" w:hAnsi="Calibri" w:cs="Calibri"/>
                <w:i/>
                <w:iCs/>
                <w:color w:val="156082" w:themeColor="accent1"/>
              </w:rPr>
              <w:t xml:space="preserve"> </w:t>
            </w:r>
          </w:p>
          <w:p w14:paraId="439FA3C4" w14:textId="3F7B9D76" w:rsidR="00BE3E0E" w:rsidRPr="000B076A" w:rsidRDefault="00BE3E0E" w:rsidP="00233F15">
            <w:pPr>
              <w:pStyle w:val="ListParagraph"/>
              <w:numPr>
                <w:ilvl w:val="2"/>
                <w:numId w:val="6"/>
              </w:numPr>
              <w:spacing w:after="120"/>
              <w:rPr>
                <w:rFonts w:ascii="Calibri" w:hAnsi="Calibri" w:cs="Calibri"/>
                <w:i/>
                <w:iCs/>
              </w:rPr>
            </w:pPr>
            <w:hyperlink r:id="rId12" w:history="1">
              <w:r w:rsidRPr="00BE3E0E">
                <w:rPr>
                  <w:rStyle w:val="Hyperlink"/>
                  <w:rFonts w:ascii="Calibri" w:hAnsi="Calibri" w:cs="Calibri"/>
                  <w:i/>
                  <w:iCs/>
                </w:rPr>
                <w:t>Global Convergence Opportunities</w:t>
              </w:r>
            </w:hyperlink>
          </w:p>
          <w:p w14:paraId="42E34B2C" w14:textId="1049C6C3" w:rsidR="00233F15" w:rsidRPr="000B076A" w:rsidRDefault="00233F15" w:rsidP="00233F15">
            <w:pPr>
              <w:pStyle w:val="ListParagraph"/>
              <w:numPr>
                <w:ilvl w:val="2"/>
                <w:numId w:val="6"/>
              </w:numPr>
              <w:spacing w:after="120"/>
              <w:rPr>
                <w:rFonts w:ascii="Calibri" w:hAnsi="Calibri" w:cs="Calibri"/>
                <w:i/>
                <w:iCs/>
              </w:rPr>
            </w:pPr>
            <w:hyperlink r:id="rId13" w:history="1">
              <w:r w:rsidRPr="000B076A">
                <w:rPr>
                  <w:rStyle w:val="Hyperlink"/>
                  <w:rFonts w:ascii="Calibri" w:hAnsi="Calibri" w:cs="Calibri"/>
                  <w:i/>
                  <w:iCs/>
                </w:rPr>
                <w:t>Risk Management for Avoidance of Drug Shortages</w:t>
              </w:r>
            </w:hyperlink>
            <w:r w:rsidRPr="000B076A">
              <w:rPr>
                <w:rFonts w:ascii="Calibri" w:hAnsi="Calibri" w:cs="Calibri"/>
                <w:i/>
                <w:iCs/>
              </w:rPr>
              <w:t xml:space="preserve"> </w:t>
            </w:r>
          </w:p>
          <w:p w14:paraId="309C4856" w14:textId="2CF9D692" w:rsidR="00956845" w:rsidRPr="000B076A" w:rsidRDefault="00956845" w:rsidP="000B076A">
            <w:pPr>
              <w:pStyle w:val="ListParagraph"/>
              <w:spacing w:after="120"/>
              <w:ind w:left="2520"/>
              <w:rPr>
                <w:rFonts w:ascii="Calibri" w:hAnsi="Calibri" w:cs="Calibri"/>
              </w:rPr>
            </w:pPr>
          </w:p>
          <w:p w14:paraId="067FC8E5" w14:textId="313DBCFE" w:rsidR="001C19D6" w:rsidRPr="00B32169" w:rsidRDefault="001C19D6" w:rsidP="000B076A">
            <w:pPr>
              <w:pStyle w:val="ListParagraph"/>
              <w:spacing w:after="120"/>
              <w:rPr>
                <w:rFonts w:ascii="Calibri" w:hAnsi="Calibri" w:cs="Calibri"/>
              </w:rPr>
            </w:pPr>
          </w:p>
        </w:tc>
      </w:tr>
      <w:tr w:rsidR="00956845" w14:paraId="16E660BA" w14:textId="77777777" w:rsidTr="00245279">
        <w:trPr>
          <w:trHeight w:val="299"/>
        </w:trPr>
        <w:tc>
          <w:tcPr>
            <w:tcW w:w="2515" w:type="dxa"/>
          </w:tcPr>
          <w:p w14:paraId="1F2AE9A8" w14:textId="77777777" w:rsidR="00956845" w:rsidRPr="001155E4" w:rsidRDefault="00956845" w:rsidP="00245279">
            <w:pPr>
              <w:rPr>
                <w:rFonts w:ascii="Calibri" w:hAnsi="Calibri" w:cs="Calibri"/>
                <w:b/>
                <w:bCs/>
                <w:color w:val="156082" w:themeColor="accent1"/>
              </w:rPr>
            </w:pPr>
            <w:r w:rsidRPr="001155E4">
              <w:rPr>
                <w:rFonts w:ascii="Calibri" w:hAnsi="Calibri" w:cs="Calibri"/>
                <w:b/>
                <w:bCs/>
                <w:color w:val="156082" w:themeColor="accent1"/>
              </w:rPr>
              <w:lastRenderedPageBreak/>
              <w:t>(9) Implementation, compliance and enforcement, and service standards</w:t>
            </w:r>
          </w:p>
        </w:tc>
        <w:tc>
          <w:tcPr>
            <w:tcW w:w="11769" w:type="dxa"/>
          </w:tcPr>
          <w:p w14:paraId="4C10EAC3" w14:textId="69952A20" w:rsidR="00F2703A" w:rsidRDefault="00956845" w:rsidP="00245279">
            <w:pPr>
              <w:rPr>
                <w:rFonts w:ascii="Calibri" w:hAnsi="Calibri" w:cs="Calibri"/>
              </w:rPr>
            </w:pPr>
            <w:r w:rsidRPr="0031343B">
              <w:rPr>
                <w:rFonts w:ascii="Calibri" w:hAnsi="Calibri" w:cs="Calibri"/>
              </w:rPr>
              <w:t xml:space="preserve">ISPE supports </w:t>
            </w:r>
            <w:r w:rsidR="00871D0F">
              <w:rPr>
                <w:rFonts w:ascii="Calibri" w:hAnsi="Calibri" w:cs="Calibri"/>
              </w:rPr>
              <w:t xml:space="preserve">an extended </w:t>
            </w:r>
            <w:r w:rsidRPr="0031343B">
              <w:rPr>
                <w:rFonts w:ascii="Calibri" w:hAnsi="Calibri" w:cs="Calibri"/>
              </w:rPr>
              <w:t xml:space="preserve">implementation period </w:t>
            </w:r>
            <w:r w:rsidR="00871D0F">
              <w:rPr>
                <w:rFonts w:ascii="Calibri" w:hAnsi="Calibri" w:cs="Calibri"/>
              </w:rPr>
              <w:t>for companies to transition to new expectations for</w:t>
            </w:r>
            <w:r w:rsidRPr="0031343B">
              <w:rPr>
                <w:rFonts w:ascii="Calibri" w:hAnsi="Calibri" w:cs="Calibri"/>
              </w:rPr>
              <w:t xml:space="preserve"> Shortage Prevention &amp; Mitigation Plans </w:t>
            </w:r>
            <w:r w:rsidR="00F2703A">
              <w:rPr>
                <w:rFonts w:ascii="Calibri" w:hAnsi="Calibri" w:cs="Calibri"/>
              </w:rPr>
              <w:t xml:space="preserve">and minimum safety stock requirements.  Because </w:t>
            </w:r>
            <w:r w:rsidR="00306FE1">
              <w:rPr>
                <w:rFonts w:ascii="Calibri" w:hAnsi="Calibri" w:cs="Calibri"/>
              </w:rPr>
              <w:t>existing</w:t>
            </w:r>
            <w:r w:rsidR="00F2703A">
              <w:rPr>
                <w:rFonts w:ascii="Calibri" w:hAnsi="Calibri" w:cs="Calibri"/>
              </w:rPr>
              <w:t xml:space="preserve"> circumstances</w:t>
            </w:r>
            <w:r w:rsidR="00306FE1">
              <w:rPr>
                <w:rFonts w:ascii="Calibri" w:hAnsi="Calibri" w:cs="Calibri"/>
              </w:rPr>
              <w:t xml:space="preserve"> may</w:t>
            </w:r>
            <w:r w:rsidR="00F2703A">
              <w:rPr>
                <w:rFonts w:ascii="Calibri" w:hAnsi="Calibri" w:cs="Calibri"/>
              </w:rPr>
              <w:t xml:space="preserve"> restrict implementation </w:t>
            </w:r>
            <w:r w:rsidR="00871D0F">
              <w:rPr>
                <w:rFonts w:ascii="Calibri" w:hAnsi="Calibri" w:cs="Calibri"/>
              </w:rPr>
              <w:t>within the proposed implementation periods</w:t>
            </w:r>
            <w:r w:rsidR="00F2703A">
              <w:rPr>
                <w:rFonts w:ascii="Calibri" w:hAnsi="Calibri" w:cs="Calibri"/>
              </w:rPr>
              <w:t xml:space="preserve"> (</w:t>
            </w:r>
            <w:r w:rsidR="00F2703A" w:rsidRPr="000B076A">
              <w:rPr>
                <w:rFonts w:ascii="Calibri" w:hAnsi="Calibri" w:cs="Calibri"/>
                <w:i/>
              </w:rPr>
              <w:t>e.g</w:t>
            </w:r>
            <w:r w:rsidR="00F2703A">
              <w:rPr>
                <w:rFonts w:ascii="Calibri" w:hAnsi="Calibri" w:cs="Calibri"/>
              </w:rPr>
              <w:t xml:space="preserve">., </w:t>
            </w:r>
            <w:r w:rsidR="00306FE1">
              <w:rPr>
                <w:rFonts w:ascii="Calibri" w:hAnsi="Calibri" w:cs="Calibri"/>
              </w:rPr>
              <w:t xml:space="preserve">manufacturer </w:t>
            </w:r>
            <w:r w:rsidR="00F2703A">
              <w:rPr>
                <w:rFonts w:ascii="Calibri" w:hAnsi="Calibri" w:cs="Calibri"/>
              </w:rPr>
              <w:t>portfolios containing</w:t>
            </w:r>
            <w:r w:rsidR="00871D0F">
              <w:rPr>
                <w:rFonts w:ascii="Calibri" w:hAnsi="Calibri" w:cs="Calibri"/>
              </w:rPr>
              <w:t xml:space="preserve"> a</w:t>
            </w:r>
            <w:r w:rsidR="00F2703A">
              <w:rPr>
                <w:rFonts w:ascii="Calibri" w:hAnsi="Calibri" w:cs="Calibri"/>
              </w:rPr>
              <w:t xml:space="preserve"> large </w:t>
            </w:r>
            <w:r w:rsidR="00871D0F">
              <w:rPr>
                <w:rFonts w:ascii="Calibri" w:hAnsi="Calibri" w:cs="Calibri"/>
              </w:rPr>
              <w:t xml:space="preserve">volume of </w:t>
            </w:r>
            <w:r w:rsidR="00F2703A">
              <w:rPr>
                <w:rFonts w:ascii="Calibri" w:hAnsi="Calibri" w:cs="Calibri"/>
              </w:rPr>
              <w:t xml:space="preserve">critical and vulnerable products, </w:t>
            </w:r>
            <w:r w:rsidR="00871D0F">
              <w:rPr>
                <w:rFonts w:ascii="Calibri" w:hAnsi="Calibri" w:cs="Calibri"/>
              </w:rPr>
              <w:t xml:space="preserve">complications involved in </w:t>
            </w:r>
            <w:r w:rsidR="00F2703A">
              <w:rPr>
                <w:rFonts w:ascii="Calibri" w:hAnsi="Calibri" w:cs="Calibri"/>
              </w:rPr>
              <w:t>revising quality agreements with multiple manufacturing partners, procurement of suitable storage locations</w:t>
            </w:r>
            <w:r w:rsidR="00871D0F">
              <w:rPr>
                <w:rFonts w:ascii="Calibri" w:hAnsi="Calibri" w:cs="Calibri"/>
              </w:rPr>
              <w:t xml:space="preserve">, revision of </w:t>
            </w:r>
            <w:r w:rsidR="004D491D">
              <w:rPr>
                <w:rFonts w:ascii="Calibri" w:hAnsi="Calibri" w:cs="Calibri"/>
              </w:rPr>
              <w:t xml:space="preserve">a high volume of </w:t>
            </w:r>
            <w:r w:rsidR="00871D0F">
              <w:rPr>
                <w:rFonts w:ascii="Calibri" w:hAnsi="Calibri" w:cs="Calibri"/>
              </w:rPr>
              <w:t>procedures and operations</w:t>
            </w:r>
            <w:r w:rsidR="00C077BB">
              <w:rPr>
                <w:rFonts w:ascii="Calibri" w:hAnsi="Calibri" w:cs="Calibri"/>
              </w:rPr>
              <w:t>…</w:t>
            </w:r>
            <w:r w:rsidR="00F2703A" w:rsidRPr="000B076A">
              <w:rPr>
                <w:rFonts w:ascii="Calibri" w:hAnsi="Calibri" w:cs="Calibri"/>
                <w:i/>
                <w:iCs/>
              </w:rPr>
              <w:t>etc</w:t>
            </w:r>
            <w:r w:rsidR="00C077BB">
              <w:rPr>
                <w:rFonts w:ascii="Calibri" w:hAnsi="Calibri" w:cs="Calibri"/>
              </w:rPr>
              <w:t>.</w:t>
            </w:r>
            <w:r w:rsidR="00F2703A">
              <w:rPr>
                <w:rFonts w:ascii="Calibri" w:hAnsi="Calibri" w:cs="Calibri"/>
              </w:rPr>
              <w:t>)</w:t>
            </w:r>
            <w:r w:rsidR="00871D0F">
              <w:rPr>
                <w:rFonts w:ascii="Calibri" w:hAnsi="Calibri" w:cs="Calibri"/>
              </w:rPr>
              <w:t>, an option to document extenuating circumstances and qualify for an alternate, exceptions-based implementation timeline is recommended.</w:t>
            </w:r>
          </w:p>
          <w:p w14:paraId="2B4BD2E5" w14:textId="38C2B891" w:rsidR="00956845" w:rsidRPr="009E6C8C" w:rsidRDefault="00956845" w:rsidP="00245279">
            <w:pPr>
              <w:rPr>
                <w:rFonts w:ascii="Calibri" w:hAnsi="Calibri" w:cs="Calibri"/>
              </w:rPr>
            </w:pPr>
          </w:p>
        </w:tc>
      </w:tr>
      <w:tr w:rsidR="00956845" w14:paraId="0F02B273" w14:textId="77777777" w:rsidTr="00245279">
        <w:trPr>
          <w:trHeight w:val="299"/>
        </w:trPr>
        <w:tc>
          <w:tcPr>
            <w:tcW w:w="2515" w:type="dxa"/>
          </w:tcPr>
          <w:p w14:paraId="1F1988A1" w14:textId="77777777" w:rsidR="00956845" w:rsidRPr="001155E4" w:rsidRDefault="00956845" w:rsidP="00245279">
            <w:pPr>
              <w:rPr>
                <w:rFonts w:ascii="Calibri" w:hAnsi="Calibri" w:cs="Calibri"/>
                <w:b/>
                <w:bCs/>
                <w:color w:val="156082" w:themeColor="accent1"/>
              </w:rPr>
            </w:pPr>
            <w:r>
              <w:rPr>
                <w:rFonts w:ascii="Calibri" w:hAnsi="Calibri" w:cs="Calibri"/>
                <w:b/>
                <w:bCs/>
                <w:color w:val="156082" w:themeColor="accent1"/>
              </w:rPr>
              <w:t xml:space="preserve">(11) </w:t>
            </w:r>
            <w:r w:rsidRPr="001155E4">
              <w:rPr>
                <w:rFonts w:ascii="Calibri" w:hAnsi="Calibri" w:cs="Calibri"/>
                <w:b/>
                <w:bCs/>
                <w:color w:val="156082" w:themeColor="accent1"/>
              </w:rPr>
              <w:t>Comment for the Food and Drug Regulations section</w:t>
            </w:r>
          </w:p>
        </w:tc>
        <w:tc>
          <w:tcPr>
            <w:tcW w:w="11769" w:type="dxa"/>
          </w:tcPr>
          <w:p w14:paraId="319B3FC9" w14:textId="20FC8C9E" w:rsidR="00956845" w:rsidRDefault="00956845" w:rsidP="00245279">
            <w:pPr>
              <w:spacing w:after="120"/>
              <w:rPr>
                <w:rFonts w:ascii="Calibri" w:hAnsi="Calibri" w:cs="Calibri"/>
                <w:b/>
                <w:bCs/>
              </w:rPr>
            </w:pPr>
            <w:r w:rsidRPr="00306FE1">
              <w:rPr>
                <w:rFonts w:ascii="Calibri" w:hAnsi="Calibri" w:cs="Calibri"/>
                <w:b/>
                <w:bCs/>
              </w:rPr>
              <w:t>Critical and Vulnerable Drug List</w:t>
            </w:r>
            <w:r>
              <w:rPr>
                <w:rFonts w:ascii="Calibri" w:hAnsi="Calibri" w:cs="Calibri"/>
                <w:b/>
                <w:bCs/>
              </w:rPr>
              <w:t xml:space="preserve"> </w:t>
            </w:r>
            <w:r w:rsidR="00306FE1">
              <w:rPr>
                <w:rFonts w:ascii="Calibri" w:hAnsi="Calibri" w:cs="Calibri"/>
                <w:b/>
                <w:bCs/>
              </w:rPr>
              <w:t>(CVDL)</w:t>
            </w:r>
          </w:p>
          <w:p w14:paraId="19E646D8" w14:textId="172E45CC" w:rsidR="00956845" w:rsidRDefault="00956845" w:rsidP="000B076A">
            <w:pPr>
              <w:spacing w:after="120"/>
              <w:rPr>
                <w:rFonts w:ascii="Calibri" w:hAnsi="Calibri" w:cs="Calibri"/>
              </w:rPr>
            </w:pPr>
            <w:r>
              <w:rPr>
                <w:rFonts w:ascii="Calibri" w:hAnsi="Calibri" w:cs="Calibri"/>
              </w:rPr>
              <w:t xml:space="preserve">ISPE supports </w:t>
            </w:r>
            <w:r w:rsidR="00306FE1">
              <w:rPr>
                <w:rFonts w:ascii="Calibri" w:hAnsi="Calibri" w:cs="Calibri"/>
              </w:rPr>
              <w:t>a lean CVDL list, with</w:t>
            </w:r>
            <w:r w:rsidRPr="007430E0">
              <w:rPr>
                <w:rFonts w:ascii="Calibri" w:hAnsi="Calibri" w:cs="Calibri"/>
              </w:rPr>
              <w:t xml:space="preserve"> </w:t>
            </w:r>
            <w:r w:rsidR="00306FE1">
              <w:rPr>
                <w:rFonts w:ascii="Calibri" w:hAnsi="Calibri" w:cs="Calibri"/>
              </w:rPr>
              <w:t>rigorous</w:t>
            </w:r>
            <w:r w:rsidR="00306FE1" w:rsidRPr="007430E0">
              <w:rPr>
                <w:rFonts w:ascii="Calibri" w:hAnsi="Calibri" w:cs="Calibri"/>
              </w:rPr>
              <w:t xml:space="preserve"> </w:t>
            </w:r>
            <w:r w:rsidRPr="007430E0">
              <w:rPr>
                <w:rFonts w:ascii="Calibri" w:hAnsi="Calibri" w:cs="Calibri"/>
              </w:rPr>
              <w:t>criteria</w:t>
            </w:r>
            <w:r>
              <w:rPr>
                <w:rFonts w:ascii="Calibri" w:hAnsi="Calibri" w:cs="Calibri"/>
              </w:rPr>
              <w:t xml:space="preserve"> </w:t>
            </w:r>
            <w:r w:rsidR="00306FE1">
              <w:rPr>
                <w:rFonts w:ascii="Calibri" w:hAnsi="Calibri" w:cs="Calibri"/>
              </w:rPr>
              <w:t xml:space="preserve">and ongoing stakeholder consultation, </w:t>
            </w:r>
            <w:r w:rsidRPr="007430E0">
              <w:rPr>
                <w:rFonts w:ascii="Calibri" w:hAnsi="Calibri" w:cs="Calibri"/>
              </w:rPr>
              <w:t>to ensure the scope</w:t>
            </w:r>
            <w:r>
              <w:rPr>
                <w:rFonts w:ascii="Calibri" w:hAnsi="Calibri" w:cs="Calibri"/>
              </w:rPr>
              <w:t xml:space="preserve"> of the CVDL </w:t>
            </w:r>
            <w:r w:rsidRPr="007430E0">
              <w:rPr>
                <w:rFonts w:ascii="Calibri" w:hAnsi="Calibri" w:cs="Calibri"/>
              </w:rPr>
              <w:t>remains f</w:t>
            </w:r>
            <w:r w:rsidR="00306FE1">
              <w:rPr>
                <w:rFonts w:ascii="Calibri" w:hAnsi="Calibri" w:cs="Calibri"/>
              </w:rPr>
              <w:t>ocused on</w:t>
            </w:r>
            <w:r w:rsidRPr="007430E0">
              <w:rPr>
                <w:rFonts w:ascii="Calibri" w:hAnsi="Calibri" w:cs="Calibri"/>
              </w:rPr>
              <w:t xml:space="preserve"> the most </w:t>
            </w:r>
            <w:r>
              <w:rPr>
                <w:rFonts w:ascii="Calibri" w:hAnsi="Calibri" w:cs="Calibri"/>
              </w:rPr>
              <w:t>therapeutically significant</w:t>
            </w:r>
            <w:r w:rsidRPr="007430E0">
              <w:rPr>
                <w:rFonts w:ascii="Calibri" w:hAnsi="Calibri" w:cs="Calibri"/>
              </w:rPr>
              <w:t xml:space="preserve"> and</w:t>
            </w:r>
            <w:r>
              <w:rPr>
                <w:rFonts w:ascii="Calibri" w:hAnsi="Calibri" w:cs="Calibri"/>
              </w:rPr>
              <w:t xml:space="preserve"> vulnerable products. </w:t>
            </w:r>
          </w:p>
          <w:p w14:paraId="100B6851" w14:textId="28F325FD" w:rsidR="00306FE1" w:rsidRPr="000B076A" w:rsidRDefault="00306FE1" w:rsidP="000B076A">
            <w:pPr>
              <w:spacing w:after="120"/>
              <w:rPr>
                <w:rFonts w:ascii="Calibri" w:hAnsi="Calibri" w:cs="Calibri"/>
                <w:b/>
                <w:bCs/>
              </w:rPr>
            </w:pPr>
            <w:r w:rsidRPr="000B076A">
              <w:rPr>
                <w:rFonts w:ascii="Calibri" w:hAnsi="Calibri" w:cs="Calibri"/>
                <w:b/>
                <w:bCs/>
              </w:rPr>
              <w:t>Shortage Prevention and Mitigation Plans (SPMP)</w:t>
            </w:r>
          </w:p>
          <w:p w14:paraId="56F0CCB5" w14:textId="5BB0F388" w:rsidR="00306FE1" w:rsidRDefault="00956845" w:rsidP="00245279">
            <w:pPr>
              <w:rPr>
                <w:rFonts w:ascii="Calibri" w:hAnsi="Calibri" w:cs="Calibri"/>
              </w:rPr>
            </w:pPr>
            <w:r>
              <w:rPr>
                <w:rFonts w:ascii="Calibri" w:hAnsi="Calibri" w:cs="Calibri"/>
              </w:rPr>
              <w:t xml:space="preserve">ISPE </w:t>
            </w:r>
            <w:r w:rsidR="00306FE1">
              <w:rPr>
                <w:rFonts w:ascii="Calibri" w:hAnsi="Calibri" w:cs="Calibri"/>
              </w:rPr>
              <w:t xml:space="preserve">supports a periodic refresh of SPMPs, as well as reviews/revisions of SPMPs prompted by significant events or </w:t>
            </w:r>
            <w:r w:rsidR="00C077BB">
              <w:rPr>
                <w:rFonts w:ascii="Calibri" w:hAnsi="Calibri" w:cs="Calibri"/>
              </w:rPr>
              <w:t xml:space="preserve">significant </w:t>
            </w:r>
            <w:r w:rsidR="00306FE1">
              <w:rPr>
                <w:rFonts w:ascii="Calibri" w:hAnsi="Calibri" w:cs="Calibri"/>
              </w:rPr>
              <w:t>disruptions in supply. To allow for optimizing manufacturer resources* and maintain focus on ensuring uninterrupted supply of the most significant medications at any time, ISPE suggests for consideration that the periodicity for SPMP updates be established</w:t>
            </w:r>
            <w:r w:rsidR="00306FE1" w:rsidRPr="00607F02">
              <w:rPr>
                <w:rFonts w:ascii="Calibri" w:hAnsi="Calibri" w:cs="Calibri"/>
              </w:rPr>
              <w:t xml:space="preserve"> </w:t>
            </w:r>
            <w:r w:rsidR="00306FE1">
              <w:rPr>
                <w:rFonts w:ascii="Calibri" w:hAnsi="Calibri" w:cs="Calibri"/>
              </w:rPr>
              <w:t xml:space="preserve">by </w:t>
            </w:r>
            <w:r w:rsidRPr="00607F02">
              <w:rPr>
                <w:rFonts w:ascii="Calibri" w:hAnsi="Calibri" w:cs="Calibri"/>
              </w:rPr>
              <w:t>manufacturers</w:t>
            </w:r>
            <w:r w:rsidR="00306FE1">
              <w:rPr>
                <w:rFonts w:ascii="Calibri" w:hAnsi="Calibri" w:cs="Calibri"/>
              </w:rPr>
              <w:t xml:space="preserve">.  </w:t>
            </w:r>
          </w:p>
          <w:p w14:paraId="6D1E0295" w14:textId="77777777" w:rsidR="00306FE1" w:rsidRDefault="00306FE1" w:rsidP="00245279">
            <w:pPr>
              <w:rPr>
                <w:rFonts w:ascii="Calibri" w:hAnsi="Calibri" w:cs="Calibri"/>
              </w:rPr>
            </w:pPr>
          </w:p>
          <w:p w14:paraId="2BE3248E" w14:textId="303B3DBB" w:rsidR="00306FE1" w:rsidRPr="000B076A" w:rsidRDefault="00306FE1" w:rsidP="000B076A">
            <w:pPr>
              <w:ind w:left="527"/>
              <w:rPr>
                <w:rFonts w:ascii="Calibri" w:hAnsi="Calibri" w:cs="Calibri"/>
              </w:rPr>
            </w:pPr>
            <w:r w:rsidRPr="000B076A">
              <w:rPr>
                <w:rFonts w:ascii="Calibri" w:hAnsi="Calibri" w:cs="Calibri"/>
              </w:rPr>
              <w:t>*</w:t>
            </w:r>
            <w:r>
              <w:rPr>
                <w:rFonts w:ascii="Calibri" w:hAnsi="Calibri" w:cs="Calibri"/>
              </w:rPr>
              <w:t>Examples of optimizing resources:</w:t>
            </w:r>
            <w:r w:rsidRPr="000B076A">
              <w:rPr>
                <w:rFonts w:ascii="Calibri" w:hAnsi="Calibri" w:cs="Calibri"/>
              </w:rPr>
              <w:t xml:space="preserve"> staggering </w:t>
            </w:r>
            <w:r>
              <w:rPr>
                <w:rFonts w:ascii="Calibri" w:hAnsi="Calibri" w:cs="Calibri"/>
              </w:rPr>
              <w:t xml:space="preserve">the timeline of </w:t>
            </w:r>
            <w:r w:rsidRPr="000B076A">
              <w:rPr>
                <w:rFonts w:ascii="Calibri" w:hAnsi="Calibri" w:cs="Calibri"/>
              </w:rPr>
              <w:t>SPMP reviews across the entire portfolio</w:t>
            </w:r>
            <w:r>
              <w:rPr>
                <w:rFonts w:ascii="Calibri" w:hAnsi="Calibri" w:cs="Calibri"/>
              </w:rPr>
              <w:t xml:space="preserve"> to avoid compressed, or possibly unattainable, refresh activities due to unmanageable volumes of work</w:t>
            </w:r>
            <w:r w:rsidRPr="000B076A">
              <w:rPr>
                <w:rFonts w:ascii="Calibri" w:hAnsi="Calibri" w:cs="Calibri"/>
              </w:rPr>
              <w:t xml:space="preserve">, </w:t>
            </w:r>
            <w:r>
              <w:rPr>
                <w:rFonts w:ascii="Calibri" w:hAnsi="Calibri" w:cs="Calibri"/>
              </w:rPr>
              <w:t xml:space="preserve">ensuring sufficient </w:t>
            </w:r>
            <w:r w:rsidRPr="000B076A">
              <w:rPr>
                <w:rFonts w:ascii="Calibri" w:hAnsi="Calibri" w:cs="Calibri"/>
              </w:rPr>
              <w:t xml:space="preserve">capacity </w:t>
            </w:r>
            <w:r>
              <w:rPr>
                <w:rFonts w:ascii="Calibri" w:hAnsi="Calibri" w:cs="Calibri"/>
              </w:rPr>
              <w:t xml:space="preserve">and attention </w:t>
            </w:r>
            <w:r w:rsidRPr="000B076A">
              <w:rPr>
                <w:rFonts w:ascii="Calibri" w:hAnsi="Calibri" w:cs="Calibri"/>
              </w:rPr>
              <w:t xml:space="preserve">to address products undergoing significant changes, </w:t>
            </w:r>
            <w:r>
              <w:rPr>
                <w:rFonts w:ascii="Calibri" w:hAnsi="Calibri" w:cs="Calibri"/>
              </w:rPr>
              <w:t xml:space="preserve">providing </w:t>
            </w:r>
            <w:r w:rsidRPr="000B076A">
              <w:rPr>
                <w:rFonts w:ascii="Calibri" w:hAnsi="Calibri" w:cs="Calibri"/>
              </w:rPr>
              <w:t xml:space="preserve">flexibility to deprioritize products with diminishing </w:t>
            </w:r>
            <w:r>
              <w:rPr>
                <w:rFonts w:ascii="Calibri" w:hAnsi="Calibri" w:cs="Calibri"/>
              </w:rPr>
              <w:t>patient impact</w:t>
            </w:r>
            <w:r w:rsidR="00C077BB">
              <w:rPr>
                <w:rFonts w:ascii="Calibri" w:hAnsi="Calibri" w:cs="Calibri"/>
              </w:rPr>
              <w:t xml:space="preserve"> or demand</w:t>
            </w:r>
          </w:p>
          <w:p w14:paraId="3C0FDE68" w14:textId="77777777" w:rsidR="00956845" w:rsidRPr="00442BA0" w:rsidRDefault="00956845" w:rsidP="00245279">
            <w:pPr>
              <w:rPr>
                <w:rFonts w:ascii="Calibri" w:hAnsi="Calibri" w:cs="Calibri"/>
              </w:rPr>
            </w:pPr>
          </w:p>
          <w:p w14:paraId="58E945AA" w14:textId="0842DB57" w:rsidR="00956845" w:rsidRDefault="00956845" w:rsidP="00245279">
            <w:pPr>
              <w:spacing w:after="120"/>
              <w:rPr>
                <w:rFonts w:ascii="Calibri" w:hAnsi="Calibri" w:cs="Calibri"/>
              </w:rPr>
            </w:pPr>
            <w:r w:rsidRPr="00BB3053">
              <w:rPr>
                <w:rFonts w:ascii="Calibri" w:hAnsi="Calibri" w:cs="Calibri"/>
                <w:b/>
                <w:bCs/>
              </w:rPr>
              <w:t>Safety Stock List</w:t>
            </w:r>
          </w:p>
          <w:p w14:paraId="08225D42" w14:textId="7ACE173B" w:rsidR="00956845" w:rsidRPr="00FF43B3" w:rsidRDefault="00956845" w:rsidP="00245279">
            <w:pPr>
              <w:spacing w:after="120"/>
              <w:rPr>
                <w:rFonts w:ascii="Calibri" w:hAnsi="Calibri" w:cs="Calibri"/>
              </w:rPr>
            </w:pPr>
            <w:r w:rsidRPr="004E7BC8">
              <w:rPr>
                <w:rFonts w:ascii="Calibri" w:hAnsi="Calibri" w:cs="Calibri"/>
              </w:rPr>
              <w:t>ISPE supports the opportunity for stakeholder consultation on the development and updates to the Safety Stock List</w:t>
            </w:r>
            <w:r w:rsidR="00C077BB">
              <w:rPr>
                <w:rFonts w:ascii="Calibri" w:hAnsi="Calibri" w:cs="Calibri"/>
              </w:rPr>
              <w:t>. W</w:t>
            </w:r>
            <w:r w:rsidR="00306FE1">
              <w:rPr>
                <w:rFonts w:ascii="Calibri" w:hAnsi="Calibri" w:cs="Calibri"/>
              </w:rPr>
              <w:t xml:space="preserve">e suggest </w:t>
            </w:r>
            <w:r w:rsidRPr="00FF43B3">
              <w:rPr>
                <w:rFonts w:ascii="Calibri" w:hAnsi="Calibri" w:cs="Calibri"/>
              </w:rPr>
              <w:t>providing additional information on the frequency and process for updating the Safety Stock List, to level</w:t>
            </w:r>
            <w:r w:rsidR="00C077BB">
              <w:rPr>
                <w:rFonts w:ascii="Calibri" w:hAnsi="Calibri" w:cs="Calibri"/>
              </w:rPr>
              <w:t>-</w:t>
            </w:r>
            <w:r w:rsidRPr="00FF43B3">
              <w:rPr>
                <w:rFonts w:ascii="Calibri" w:hAnsi="Calibri" w:cs="Calibri"/>
              </w:rPr>
              <w:t>set expectations</w:t>
            </w:r>
            <w:r w:rsidR="00306FE1">
              <w:rPr>
                <w:rFonts w:ascii="Calibri" w:hAnsi="Calibri" w:cs="Calibri"/>
              </w:rPr>
              <w:t xml:space="preserve"> and prepare manufacturers</w:t>
            </w:r>
            <w:r w:rsidRPr="00FF43B3">
              <w:rPr>
                <w:rFonts w:ascii="Calibri" w:hAnsi="Calibri" w:cs="Calibri"/>
              </w:rPr>
              <w:t>.</w:t>
            </w:r>
          </w:p>
          <w:p w14:paraId="29605FEE" w14:textId="77777777" w:rsidR="00956845" w:rsidRDefault="00956845" w:rsidP="00245279">
            <w:pPr>
              <w:spacing w:after="120"/>
              <w:rPr>
                <w:rFonts w:ascii="Calibri" w:hAnsi="Calibri" w:cs="Calibri"/>
              </w:rPr>
            </w:pPr>
          </w:p>
          <w:p w14:paraId="714CF4B7" w14:textId="77777777" w:rsidR="00956845" w:rsidRPr="006458A7" w:rsidRDefault="00956845" w:rsidP="00956845">
            <w:pPr>
              <w:spacing w:after="120"/>
              <w:rPr>
                <w:rFonts w:ascii="Calibri" w:hAnsi="Calibri" w:cs="Calibri"/>
              </w:rPr>
            </w:pPr>
          </w:p>
          <w:p w14:paraId="48EF8C99" w14:textId="5A14CA8E" w:rsidR="00956845" w:rsidRDefault="00956845" w:rsidP="00245279">
            <w:pPr>
              <w:spacing w:after="120"/>
              <w:rPr>
                <w:rFonts w:ascii="Calibri" w:eastAsia="Times New Roman" w:hAnsi="Calibri" w:cs="Calibri"/>
                <w:color w:val="000000"/>
                <w:kern w:val="0"/>
                <w:lang w:val="en-GB" w:eastAsia="en-GB"/>
                <w14:ligatures w14:val="none"/>
              </w:rPr>
            </w:pPr>
            <w:r w:rsidRPr="00457A27">
              <w:rPr>
                <w:rFonts w:ascii="Calibri" w:eastAsia="Times New Roman" w:hAnsi="Calibri" w:cs="Calibri"/>
                <w:color w:val="000000"/>
                <w:kern w:val="0"/>
                <w:lang w:eastAsia="en-GB"/>
                <w14:ligatures w14:val="none"/>
              </w:rPr>
              <w:lastRenderedPageBreak/>
              <w:t xml:space="preserve">ISPE recommends that the quantity of required safety stock be based on future forecast/forward demand, while </w:t>
            </w:r>
            <w:proofErr w:type="gramStart"/>
            <w:r w:rsidRPr="00457A27">
              <w:rPr>
                <w:rFonts w:ascii="Calibri" w:eastAsia="Times New Roman" w:hAnsi="Calibri" w:cs="Calibri"/>
                <w:color w:val="000000"/>
                <w:kern w:val="0"/>
                <w:lang w:eastAsia="en-GB"/>
                <w14:ligatures w14:val="none"/>
              </w:rPr>
              <w:t>taking into account</w:t>
            </w:r>
            <w:proofErr w:type="gramEnd"/>
            <w:r w:rsidRPr="00457A27">
              <w:rPr>
                <w:rFonts w:ascii="Calibri" w:eastAsia="Times New Roman" w:hAnsi="Calibri" w:cs="Calibri"/>
                <w:color w:val="000000"/>
                <w:kern w:val="0"/>
                <w:lang w:eastAsia="en-GB"/>
                <w14:ligatures w14:val="none"/>
              </w:rPr>
              <w:t xml:space="preserve"> historical demand (when available), to effectively align safety stock with evolving market consumption patterns. Additionally, since historical data may be lacking for new product launches and products nearing their sunset stage, relying solely on past sales </w:t>
            </w:r>
            <w:r w:rsidR="00306FE1">
              <w:rPr>
                <w:rFonts w:ascii="Calibri" w:eastAsia="Times New Roman" w:hAnsi="Calibri" w:cs="Calibri"/>
                <w:color w:val="000000"/>
                <w:kern w:val="0"/>
                <w:lang w:eastAsia="en-GB"/>
                <w14:ligatures w14:val="none"/>
              </w:rPr>
              <w:t>may</w:t>
            </w:r>
            <w:r w:rsidRPr="00457A27">
              <w:rPr>
                <w:rFonts w:ascii="Calibri" w:eastAsia="Times New Roman" w:hAnsi="Calibri" w:cs="Calibri"/>
                <w:color w:val="000000"/>
                <w:kern w:val="0"/>
                <w:lang w:eastAsia="en-GB"/>
                <w14:ligatures w14:val="none"/>
              </w:rPr>
              <w:t xml:space="preserve"> lead to excess inventory. Manufacturers also consider various indicators, including market trends, to determine optimal safety stock levels. </w:t>
            </w:r>
            <w:r w:rsidR="00306FE1">
              <w:rPr>
                <w:rFonts w:ascii="Calibri" w:eastAsia="Times New Roman" w:hAnsi="Calibri" w:cs="Calibri"/>
                <w:color w:val="000000"/>
                <w:kern w:val="0"/>
                <w:lang w:eastAsia="en-GB"/>
                <w14:ligatures w14:val="none"/>
              </w:rPr>
              <w:t>Therefore, a</w:t>
            </w:r>
            <w:r w:rsidRPr="00457A27">
              <w:rPr>
                <w:rFonts w:ascii="Calibri" w:eastAsia="Times New Roman" w:hAnsi="Calibri" w:cs="Calibri"/>
                <w:color w:val="000000"/>
                <w:kern w:val="0"/>
                <w:lang w:eastAsia="en-GB"/>
                <w14:ligatures w14:val="none"/>
              </w:rPr>
              <w:t xml:space="preserve"> </w:t>
            </w:r>
            <w:r>
              <w:rPr>
                <w:rFonts w:ascii="Calibri" w:eastAsia="Times New Roman" w:hAnsi="Calibri" w:cs="Calibri"/>
                <w:color w:val="000000"/>
                <w:kern w:val="0"/>
                <w:lang w:eastAsia="en-GB"/>
                <w14:ligatures w14:val="none"/>
              </w:rPr>
              <w:t xml:space="preserve">combined </w:t>
            </w:r>
            <w:r w:rsidRPr="00457A27">
              <w:rPr>
                <w:rFonts w:ascii="Calibri" w:eastAsia="Times New Roman" w:hAnsi="Calibri" w:cs="Calibri"/>
                <w:color w:val="000000"/>
                <w:kern w:val="0"/>
                <w:lang w:eastAsia="en-GB"/>
                <w14:ligatures w14:val="none"/>
              </w:rPr>
              <w:t>strategy will allow industry to meet consumer needs and manage inventory risks.</w:t>
            </w:r>
          </w:p>
          <w:p w14:paraId="28F19590" w14:textId="406CA039" w:rsidR="00956845" w:rsidRDefault="00956845" w:rsidP="00245279">
            <w:pPr>
              <w:spacing w:after="120"/>
              <w:rPr>
                <w:rFonts w:ascii="Calibri" w:hAnsi="Calibri" w:cs="Calibri"/>
              </w:rPr>
            </w:pPr>
            <w:r>
              <w:rPr>
                <w:rFonts w:ascii="Calibri" w:eastAsia="Times New Roman" w:hAnsi="Calibri" w:cs="Calibri"/>
                <w:color w:val="000000"/>
                <w:kern w:val="0"/>
                <w:lang w:val="en-GB" w:eastAsia="en-GB"/>
                <w14:ligatures w14:val="none"/>
              </w:rPr>
              <w:t xml:space="preserve">ISPE would like to clarify that </w:t>
            </w:r>
            <w:r w:rsidRPr="00AF2794">
              <w:rPr>
                <w:rFonts w:ascii="Calibri" w:hAnsi="Calibri" w:cs="Calibri"/>
              </w:rPr>
              <w:t>safety stock is not separate inventory or batches; it is extra inventory on ha</w:t>
            </w:r>
            <w:r w:rsidR="00C077BB">
              <w:rPr>
                <w:rFonts w:ascii="Calibri" w:hAnsi="Calibri" w:cs="Calibri"/>
              </w:rPr>
              <w:t>nd.</w:t>
            </w:r>
            <w:r w:rsidRPr="00AF2794">
              <w:rPr>
                <w:rFonts w:ascii="Calibri" w:hAnsi="Calibri" w:cs="Calibri"/>
              </w:rPr>
              <w:t xml:space="preserve"> Therefore, MAH holders should report that their on-hand inventory in Canada each month </w:t>
            </w:r>
            <w:r w:rsidR="005542A7">
              <w:rPr>
                <w:rFonts w:ascii="Calibri" w:hAnsi="Calibri" w:cs="Calibri"/>
              </w:rPr>
              <w:t>met</w:t>
            </w:r>
            <w:r w:rsidRPr="00AF2794">
              <w:rPr>
                <w:rFonts w:ascii="Calibri" w:hAnsi="Calibri" w:cs="Calibri"/>
              </w:rPr>
              <w:t xml:space="preserve"> the safety stock </w:t>
            </w:r>
            <w:r w:rsidRPr="00AF2794">
              <w:rPr>
                <w:rFonts w:ascii="Calibri" w:hAnsi="Calibri" w:cs="Calibri"/>
                <w:u w:val="single"/>
              </w:rPr>
              <w:t>level</w:t>
            </w:r>
            <w:r w:rsidRPr="00AF2794">
              <w:rPr>
                <w:rFonts w:ascii="Calibri" w:hAnsi="Calibri" w:cs="Calibri"/>
              </w:rPr>
              <w:t xml:space="preserve"> for the product of interest.</w:t>
            </w:r>
          </w:p>
          <w:p w14:paraId="0ADCF27F" w14:textId="1CF9E856" w:rsidR="00956845" w:rsidRPr="00AF2794" w:rsidRDefault="00956845" w:rsidP="00245279">
            <w:pPr>
              <w:spacing w:after="120"/>
              <w:ind w:left="1080"/>
              <w:rPr>
                <w:rFonts w:ascii="Calibri" w:hAnsi="Calibri" w:cs="Calibri"/>
              </w:rPr>
            </w:pPr>
          </w:p>
          <w:p w14:paraId="594F9ABF" w14:textId="77777777" w:rsidR="00956845" w:rsidRDefault="00956845" w:rsidP="00245279">
            <w:pPr>
              <w:spacing w:after="120"/>
              <w:rPr>
                <w:rFonts w:ascii="Calibri" w:hAnsi="Calibri" w:cs="Calibri"/>
                <w:b/>
                <w:bCs/>
              </w:rPr>
            </w:pPr>
            <w:r>
              <w:rPr>
                <w:rFonts w:ascii="Calibri" w:hAnsi="Calibri" w:cs="Calibri"/>
                <w:b/>
                <w:bCs/>
              </w:rPr>
              <w:t>Discontinuation Reporting</w:t>
            </w:r>
          </w:p>
          <w:p w14:paraId="60AA13B5" w14:textId="14F32075" w:rsidR="00306FE1" w:rsidRPr="000B076A" w:rsidRDefault="00956845" w:rsidP="00245279">
            <w:pPr>
              <w:spacing w:after="120"/>
              <w:rPr>
                <w:rFonts w:ascii="Calibri" w:hAnsi="Calibri" w:cs="Calibri"/>
                <w:i/>
                <w:iCs/>
              </w:rPr>
            </w:pPr>
            <w:r w:rsidRPr="000B076A">
              <w:rPr>
                <w:rFonts w:ascii="Calibri" w:hAnsi="Calibri" w:cs="Calibri"/>
              </w:rPr>
              <w:t>ISPE recommends maintaining the requirement to report a discontinuation at least 6 months in advance or as soon as practicable</w:t>
            </w:r>
            <w:r w:rsidR="00306FE1" w:rsidRPr="000B076A">
              <w:rPr>
                <w:rFonts w:ascii="Calibri" w:hAnsi="Calibri" w:cs="Calibri"/>
              </w:rPr>
              <w:t xml:space="preserve">. Significantly earlier public disclosure of discontinuations may result in unintended consequences, such as panic-buying and rapid or erratic depletion of remaining inventory. </w:t>
            </w:r>
            <w:r w:rsidR="00C077BB" w:rsidRPr="000B076A">
              <w:rPr>
                <w:rFonts w:ascii="Calibri" w:hAnsi="Calibri" w:cs="Calibri"/>
              </w:rPr>
              <w:t>With this in mind, and</w:t>
            </w:r>
            <w:r w:rsidR="00306FE1" w:rsidRPr="000B076A">
              <w:rPr>
                <w:rFonts w:ascii="Calibri" w:hAnsi="Calibri" w:cs="Calibri"/>
              </w:rPr>
              <w:t xml:space="preserve"> because it is often complex to predict discontinuation plans at earlier timepoints, ISPE has recommended global harmonization for required discontinuation reporting to be set at least 6 months in advance or as soon as practicable (voluntary reporting may always be accepted earlier).</w:t>
            </w:r>
            <w:r w:rsidR="001D198F" w:rsidRPr="000B076A">
              <w:rPr>
                <w:rFonts w:ascii="Calibri" w:hAnsi="Calibri" w:cs="Calibri"/>
              </w:rPr>
              <w:t xml:space="preserve"> </w:t>
            </w:r>
            <w:r w:rsidR="00CD766F" w:rsidRPr="000B076A">
              <w:rPr>
                <w:rFonts w:ascii="Calibri" w:hAnsi="Calibri" w:cs="Calibri"/>
              </w:rPr>
              <w:t xml:space="preserve">As described in </w:t>
            </w:r>
            <w:hyperlink r:id="rId14" w:history="1">
              <w:r w:rsidR="00CD766F" w:rsidRPr="00CD766F">
                <w:rPr>
                  <w:rStyle w:val="Hyperlink"/>
                  <w:rFonts w:ascii="Calibri" w:hAnsi="Calibri" w:cs="Calibri"/>
                  <w:i/>
                  <w:iCs/>
                </w:rPr>
                <w:t>Global Convergence Opportunities</w:t>
              </w:r>
            </w:hyperlink>
            <w:r w:rsidR="00CD766F">
              <w:rPr>
                <w:rFonts w:ascii="Calibri" w:hAnsi="Calibri" w:cs="Calibri"/>
                <w:i/>
                <w:iCs/>
              </w:rPr>
              <w:t xml:space="preserve">, </w:t>
            </w:r>
            <w:r w:rsidR="001D198F">
              <w:rPr>
                <w:rFonts w:ascii="Calibri" w:hAnsi="Calibri" w:cs="Calibri"/>
              </w:rPr>
              <w:t>a majority of markets outside of Europe have set their discontinuation reporting at 6 months in advance.</w:t>
            </w:r>
            <w:r w:rsidR="00306FE1">
              <w:rPr>
                <w:rFonts w:ascii="Calibri" w:hAnsi="Calibri" w:cs="Calibri"/>
              </w:rPr>
              <w:t xml:space="preserve"> Should an earlier notification timepoint still be of interest, ISPE suggests for consideration that a manufacturing application holder would notify Health Canada at the preferred timepoint (or as soon as practicable) and that public disclosure would occur at a later date, as discussed and agreed upon between Health Canada and the manufacturer.</w:t>
            </w:r>
          </w:p>
          <w:p w14:paraId="5DF07C75" w14:textId="265B3CDD" w:rsidR="00956845" w:rsidRDefault="00956845" w:rsidP="00306FE1">
            <w:pPr>
              <w:spacing w:after="120"/>
              <w:rPr>
                <w:rFonts w:ascii="Calibri" w:hAnsi="Calibri" w:cs="Calibri"/>
                <w:color w:val="000000" w:themeColor="text1"/>
              </w:rPr>
            </w:pPr>
          </w:p>
          <w:p w14:paraId="6DE383FF" w14:textId="77777777" w:rsidR="00956845" w:rsidRDefault="00956845" w:rsidP="00245279">
            <w:pPr>
              <w:spacing w:after="120"/>
              <w:rPr>
                <w:rFonts w:ascii="Calibri" w:hAnsi="Calibri" w:cs="Calibri"/>
                <w:color w:val="000000" w:themeColor="text1"/>
              </w:rPr>
            </w:pPr>
          </w:p>
          <w:p w14:paraId="4C4BB244" w14:textId="77777777" w:rsidR="00956845" w:rsidRPr="00267CEA" w:rsidRDefault="00956845" w:rsidP="00245279">
            <w:pPr>
              <w:spacing w:after="120"/>
              <w:rPr>
                <w:rFonts w:ascii="Calibri" w:hAnsi="Calibri" w:cs="Calibri"/>
                <w:color w:val="000000" w:themeColor="text1"/>
              </w:rPr>
            </w:pPr>
          </w:p>
        </w:tc>
      </w:tr>
    </w:tbl>
    <w:p w14:paraId="75848DC9" w14:textId="77777777" w:rsidR="00956845" w:rsidRPr="00214572" w:rsidRDefault="00956845" w:rsidP="00956845">
      <w:pPr>
        <w:rPr>
          <w:rFonts w:ascii="Calibri" w:hAnsi="Calibri" w:cs="Calibri"/>
          <w:color w:val="156082" w:themeColor="accent1"/>
        </w:rPr>
      </w:pPr>
    </w:p>
    <w:p w14:paraId="546D3877" w14:textId="77777777" w:rsidR="00956845" w:rsidRDefault="00956845"/>
    <w:sectPr w:rsidR="00956845" w:rsidSect="00956845">
      <w:headerReference w:type="even" r:id="rId15"/>
      <w:headerReference w:type="default" r:id="rId16"/>
      <w:footerReference w:type="even" r:id="rId17"/>
      <w:footerReference w:type="default" r:id="rId18"/>
      <w:headerReference w:type="first" r:id="rId19"/>
      <w:footerReference w:type="first" r:id="rId20"/>
      <w:pgSz w:w="15840" w:h="12240" w:orient="landscape"/>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D5C26" w14:textId="77777777" w:rsidR="00326A96" w:rsidRDefault="00326A96">
      <w:pPr>
        <w:spacing w:after="0" w:line="240" w:lineRule="auto"/>
      </w:pPr>
      <w:r>
        <w:separator/>
      </w:r>
    </w:p>
  </w:endnote>
  <w:endnote w:type="continuationSeparator" w:id="0">
    <w:p w14:paraId="1D57DDE5" w14:textId="77777777" w:rsidR="00326A96" w:rsidRDefault="00326A96">
      <w:pPr>
        <w:spacing w:after="0" w:line="240" w:lineRule="auto"/>
      </w:pPr>
      <w:r>
        <w:continuationSeparator/>
      </w:r>
    </w:p>
  </w:endnote>
  <w:endnote w:type="continuationNotice" w:id="1">
    <w:p w14:paraId="42D5A0D4" w14:textId="77777777" w:rsidR="00C211B6" w:rsidRDefault="00C211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F86C7" w14:textId="77777777" w:rsidR="006941C4" w:rsidRDefault="006941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177B3" w14:textId="77777777" w:rsidR="006941C4" w:rsidRDefault="006941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E82E0" w14:textId="77777777" w:rsidR="006941C4" w:rsidRDefault="00694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CFF62" w14:textId="77777777" w:rsidR="00326A96" w:rsidRDefault="00326A96">
      <w:pPr>
        <w:spacing w:after="0" w:line="240" w:lineRule="auto"/>
      </w:pPr>
      <w:r>
        <w:separator/>
      </w:r>
    </w:p>
  </w:footnote>
  <w:footnote w:type="continuationSeparator" w:id="0">
    <w:p w14:paraId="3309DBC3" w14:textId="77777777" w:rsidR="00326A96" w:rsidRDefault="00326A96">
      <w:pPr>
        <w:spacing w:after="0" w:line="240" w:lineRule="auto"/>
      </w:pPr>
      <w:r>
        <w:continuationSeparator/>
      </w:r>
    </w:p>
  </w:footnote>
  <w:footnote w:type="continuationNotice" w:id="1">
    <w:p w14:paraId="75343124" w14:textId="77777777" w:rsidR="00C211B6" w:rsidRDefault="00C211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55EAE" w14:textId="77777777" w:rsidR="00F143A4" w:rsidRDefault="00F143A4">
    <w:pPr>
      <w:pStyle w:val="Header"/>
    </w:pPr>
    <w:r>
      <w:rPr>
        <w:noProof/>
      </w:rPr>
      <mc:AlternateContent>
        <mc:Choice Requires="wps">
          <w:drawing>
            <wp:anchor distT="0" distB="0" distL="0" distR="0" simplePos="0" relativeHeight="251658241" behindDoc="0" locked="0" layoutInCell="1" allowOverlap="1" wp14:anchorId="5C8E9989" wp14:editId="65A4F4CF">
              <wp:simplePos x="635" y="635"/>
              <wp:positionH relativeFrom="page">
                <wp:align>left</wp:align>
              </wp:positionH>
              <wp:positionV relativeFrom="page">
                <wp:align>top</wp:align>
              </wp:positionV>
              <wp:extent cx="1003300" cy="405765"/>
              <wp:effectExtent l="0" t="0" r="6350" b="13335"/>
              <wp:wrapNone/>
              <wp:docPr id="721382791" name="Text Box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03300" cy="405765"/>
                      </a:xfrm>
                      <a:prstGeom prst="rect">
                        <a:avLst/>
                      </a:prstGeom>
                      <a:noFill/>
                      <a:ln>
                        <a:noFill/>
                      </a:ln>
                    </wps:spPr>
                    <wps:txbx>
                      <w:txbxContent>
                        <w:p w14:paraId="32605E87" w14:textId="77777777" w:rsidR="00F143A4" w:rsidRPr="00632C62" w:rsidRDefault="00F143A4" w:rsidP="00632C62">
                          <w:pPr>
                            <w:spacing w:after="0"/>
                            <w:rPr>
                              <w:rFonts w:ascii="Calibri" w:eastAsia="Calibri" w:hAnsi="Calibri" w:cs="Calibri"/>
                              <w:noProof/>
                              <w:color w:val="8E6A00"/>
                            </w:rPr>
                          </w:pPr>
                          <w:r w:rsidRPr="00632C62">
                            <w:rPr>
                              <w:rFonts w:ascii="Calibri" w:eastAsia="Calibri" w:hAnsi="Calibri" w:cs="Calibri"/>
                              <w:noProof/>
                              <w:color w:val="8E6A00"/>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C8E9989" id="_x0000_t202" coordsize="21600,21600" o:spt="202" path="m,l,21600r21600,l21600,xe">
              <v:stroke joinstyle="miter"/>
              <v:path gradientshapeok="t" o:connecttype="rect"/>
            </v:shapetype>
            <v:shape id="Text Box 2" o:spid="_x0000_s1026" type="#_x0000_t202" alt="Confidential" style="position:absolute;margin-left:0;margin-top:0;width:79pt;height:31.9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" filled="f" stroked="f">
              <v:textbox style="mso-fit-shape-to-text:t" inset="20pt,15pt,0,0">
                <w:txbxContent>
                  <w:p w14:paraId="32605E87" w14:textId="77777777" w:rsidR="00F143A4" w:rsidRPr="00632C62" w:rsidRDefault="00F143A4" w:rsidP="00632C62">
                    <w:pPr>
                      <w:spacing w:after="0"/>
                      <w:rPr>
                        <w:rFonts w:ascii="Calibri" w:eastAsia="Calibri" w:hAnsi="Calibri" w:cs="Calibri"/>
                        <w:noProof/>
                        <w:color w:val="8E6A00"/>
                      </w:rPr>
                    </w:pPr>
                    <w:r w:rsidRPr="00632C62">
                      <w:rPr>
                        <w:rFonts w:ascii="Calibri" w:eastAsia="Calibri" w:hAnsi="Calibri" w:cs="Calibri"/>
                        <w:noProof/>
                        <w:color w:val="8E6A00"/>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76B06" w14:textId="1F00303F" w:rsidR="00F143A4" w:rsidRDefault="006941C4">
    <w:pPr>
      <w:pStyle w:val="Header"/>
    </w:pPr>
    <w:r>
      <w:rPr>
        <w:noProof/>
      </w:rPr>
      <w:drawing>
        <wp:inline distT="0" distB="0" distL="0" distR="0" wp14:anchorId="6547A84B" wp14:editId="722ECCFD">
          <wp:extent cx="1264920" cy="406883"/>
          <wp:effectExtent l="0" t="0" r="0" b="0"/>
          <wp:docPr id="429866705" name="Picture 4"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866705" name="Picture 4"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275512" cy="410290"/>
                  </a:xfrm>
                  <a:prstGeom prst="rect">
                    <a:avLst/>
                  </a:prstGeom>
                </pic:spPr>
              </pic:pic>
            </a:graphicData>
          </a:graphic>
        </wp:inline>
      </w:drawing>
    </w:r>
    <w:r w:rsidR="00F143A4">
      <w:rPr>
        <w:noProof/>
      </w:rPr>
      <mc:AlternateContent>
        <mc:Choice Requires="wps">
          <w:drawing>
            <wp:anchor distT="0" distB="0" distL="0" distR="0" simplePos="0" relativeHeight="251658242" behindDoc="0" locked="0" layoutInCell="1" allowOverlap="1" wp14:anchorId="04509374" wp14:editId="22356BFC">
              <wp:simplePos x="914400" y="457200"/>
              <wp:positionH relativeFrom="page">
                <wp:align>left</wp:align>
              </wp:positionH>
              <wp:positionV relativeFrom="page">
                <wp:align>top</wp:align>
              </wp:positionV>
              <wp:extent cx="1003300" cy="405765"/>
              <wp:effectExtent l="0" t="0" r="6350" b="13335"/>
              <wp:wrapNone/>
              <wp:docPr id="730169976" name="Text Box 3"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03300" cy="405765"/>
                      </a:xfrm>
                      <a:prstGeom prst="rect">
                        <a:avLst/>
                      </a:prstGeom>
                      <a:noFill/>
                      <a:ln>
                        <a:noFill/>
                      </a:ln>
                    </wps:spPr>
                    <wps:txbx>
                      <w:txbxContent>
                        <w:p w14:paraId="34A7FCDC" w14:textId="77777777" w:rsidR="00F143A4" w:rsidRPr="00632C62" w:rsidRDefault="00F143A4" w:rsidP="00632C62">
                          <w:pPr>
                            <w:spacing w:after="0"/>
                            <w:rPr>
                              <w:rFonts w:ascii="Calibri" w:eastAsia="Calibri" w:hAnsi="Calibri" w:cs="Calibri"/>
                              <w:noProof/>
                              <w:color w:val="8E6A00"/>
                            </w:rPr>
                          </w:pPr>
                          <w:r w:rsidRPr="00632C62">
                            <w:rPr>
                              <w:rFonts w:ascii="Calibri" w:eastAsia="Calibri" w:hAnsi="Calibri" w:cs="Calibri"/>
                              <w:noProof/>
                              <w:color w:val="8E6A00"/>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4509374" id="_x0000_t202" coordsize="21600,21600" o:spt="202" path="m,l,21600r21600,l21600,xe">
              <v:stroke joinstyle="miter"/>
              <v:path gradientshapeok="t" o:connecttype="rect"/>
            </v:shapetype>
            <v:shape id="Text Box 3" o:spid="_x0000_s1027" type="#_x0000_t202" alt="Confidential" style="position:absolute;margin-left:0;margin-top:0;width:79pt;height:31.9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" filled="f" stroked="f">
              <v:textbox style="mso-fit-shape-to-text:t" inset="20pt,15pt,0,0">
                <w:txbxContent>
                  <w:p w14:paraId="34A7FCDC" w14:textId="77777777" w:rsidR="00F143A4" w:rsidRPr="00632C62" w:rsidRDefault="00F143A4" w:rsidP="00632C62">
                    <w:pPr>
                      <w:spacing w:after="0"/>
                      <w:rPr>
                        <w:rFonts w:ascii="Calibri" w:eastAsia="Calibri" w:hAnsi="Calibri" w:cs="Calibri"/>
                        <w:noProof/>
                        <w:color w:val="8E6A00"/>
                      </w:rPr>
                    </w:pPr>
                    <w:r w:rsidRPr="00632C62">
                      <w:rPr>
                        <w:rFonts w:ascii="Calibri" w:eastAsia="Calibri" w:hAnsi="Calibri" w:cs="Calibri"/>
                        <w:noProof/>
                        <w:color w:val="8E6A00"/>
                      </w:rPr>
                      <w:t>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29F18" w14:textId="77777777" w:rsidR="00F143A4" w:rsidRDefault="00F143A4">
    <w:pPr>
      <w:pStyle w:val="Header"/>
    </w:pPr>
    <w:r>
      <w:rPr>
        <w:noProof/>
      </w:rPr>
      <mc:AlternateContent>
        <mc:Choice Requires="wps">
          <w:drawing>
            <wp:anchor distT="0" distB="0" distL="0" distR="0" simplePos="0" relativeHeight="251658240" behindDoc="0" locked="0" layoutInCell="1" allowOverlap="1" wp14:anchorId="767C67C7" wp14:editId="1DA63734">
              <wp:simplePos x="635" y="635"/>
              <wp:positionH relativeFrom="page">
                <wp:align>left</wp:align>
              </wp:positionH>
              <wp:positionV relativeFrom="page">
                <wp:align>top</wp:align>
              </wp:positionV>
              <wp:extent cx="1003300" cy="405765"/>
              <wp:effectExtent l="0" t="0" r="6350" b="13335"/>
              <wp:wrapNone/>
              <wp:docPr id="179985155" name="Text Box 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03300" cy="405765"/>
                      </a:xfrm>
                      <a:prstGeom prst="rect">
                        <a:avLst/>
                      </a:prstGeom>
                      <a:noFill/>
                      <a:ln>
                        <a:noFill/>
                      </a:ln>
                    </wps:spPr>
                    <wps:txbx>
                      <w:txbxContent>
                        <w:p w14:paraId="283BD9B9" w14:textId="77777777" w:rsidR="00F143A4" w:rsidRPr="00632C62" w:rsidRDefault="00F143A4" w:rsidP="00632C62">
                          <w:pPr>
                            <w:spacing w:after="0"/>
                            <w:rPr>
                              <w:rFonts w:ascii="Calibri" w:eastAsia="Calibri" w:hAnsi="Calibri" w:cs="Calibri"/>
                              <w:noProof/>
                              <w:color w:val="8E6A00"/>
                            </w:rPr>
                          </w:pPr>
                          <w:r w:rsidRPr="00632C62">
                            <w:rPr>
                              <w:rFonts w:ascii="Calibri" w:eastAsia="Calibri" w:hAnsi="Calibri" w:cs="Calibri"/>
                              <w:noProof/>
                              <w:color w:val="8E6A00"/>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67C67C7" id="_x0000_t202" coordsize="21600,21600" o:spt="202" path="m,l,21600r21600,l21600,xe">
              <v:stroke joinstyle="miter"/>
              <v:path gradientshapeok="t" o:connecttype="rect"/>
            </v:shapetype>
            <v:shape id="Text Box 1" o:spid="_x0000_s1028" type="#_x0000_t202" alt="Confidential" style="position:absolute;margin-left:0;margin-top:0;width:79pt;height:31.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" filled="f" stroked="f">
              <v:textbox style="mso-fit-shape-to-text:t" inset="20pt,15pt,0,0">
                <w:txbxContent>
                  <w:p w14:paraId="283BD9B9" w14:textId="77777777" w:rsidR="00F143A4" w:rsidRPr="00632C62" w:rsidRDefault="00F143A4" w:rsidP="00632C62">
                    <w:pPr>
                      <w:spacing w:after="0"/>
                      <w:rPr>
                        <w:rFonts w:ascii="Calibri" w:eastAsia="Calibri" w:hAnsi="Calibri" w:cs="Calibri"/>
                        <w:noProof/>
                        <w:color w:val="8E6A00"/>
                      </w:rPr>
                    </w:pPr>
                    <w:r w:rsidRPr="00632C62">
                      <w:rPr>
                        <w:rFonts w:ascii="Calibri" w:eastAsia="Calibri" w:hAnsi="Calibri" w:cs="Calibri"/>
                        <w:noProof/>
                        <w:color w:val="8E6A0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572F"/>
    <w:multiLevelType w:val="hybridMultilevel"/>
    <w:tmpl w:val="93047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9E1E9B"/>
    <w:multiLevelType w:val="hybridMultilevel"/>
    <w:tmpl w:val="EA52F178"/>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D5468A6"/>
    <w:multiLevelType w:val="hybridMultilevel"/>
    <w:tmpl w:val="77D83C08"/>
    <w:lvl w:ilvl="0" w:tplc="3C12EE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8D44DFA"/>
    <w:multiLevelType w:val="hybridMultilevel"/>
    <w:tmpl w:val="75968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CB40D1"/>
    <w:multiLevelType w:val="hybridMultilevel"/>
    <w:tmpl w:val="9FC85F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5" w15:restartNumberingAfterBreak="0">
    <w:nsid w:val="4EC76C35"/>
    <w:multiLevelType w:val="hybridMultilevel"/>
    <w:tmpl w:val="8266275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B7A393B"/>
    <w:multiLevelType w:val="hybridMultilevel"/>
    <w:tmpl w:val="463A86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63138983">
    <w:abstractNumId w:val="2"/>
  </w:num>
  <w:num w:numId="2" w16cid:durableId="1580820909">
    <w:abstractNumId w:val="5"/>
  </w:num>
  <w:num w:numId="3" w16cid:durableId="722022728">
    <w:abstractNumId w:val="4"/>
  </w:num>
  <w:num w:numId="4" w16cid:durableId="793409453">
    <w:abstractNumId w:val="6"/>
  </w:num>
  <w:num w:numId="5" w16cid:durableId="1684167650">
    <w:abstractNumId w:val="3"/>
  </w:num>
  <w:num w:numId="6" w16cid:durableId="1758406457">
    <w:abstractNumId w:val="1"/>
  </w:num>
  <w:num w:numId="7" w16cid:durableId="1671250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845"/>
    <w:rsid w:val="000303E1"/>
    <w:rsid w:val="00096D06"/>
    <w:rsid w:val="000B076A"/>
    <w:rsid w:val="001C19D6"/>
    <w:rsid w:val="001D198F"/>
    <w:rsid w:val="00233F15"/>
    <w:rsid w:val="00267279"/>
    <w:rsid w:val="002D526E"/>
    <w:rsid w:val="00306FE1"/>
    <w:rsid w:val="00326A96"/>
    <w:rsid w:val="00331CD1"/>
    <w:rsid w:val="004441D3"/>
    <w:rsid w:val="004D491D"/>
    <w:rsid w:val="005542A7"/>
    <w:rsid w:val="00591F7F"/>
    <w:rsid w:val="006941C4"/>
    <w:rsid w:val="006C6C2B"/>
    <w:rsid w:val="00715497"/>
    <w:rsid w:val="007C26A8"/>
    <w:rsid w:val="00871D0F"/>
    <w:rsid w:val="008D691D"/>
    <w:rsid w:val="00940171"/>
    <w:rsid w:val="00954995"/>
    <w:rsid w:val="00956845"/>
    <w:rsid w:val="00A30161"/>
    <w:rsid w:val="00A95FEE"/>
    <w:rsid w:val="00AD2242"/>
    <w:rsid w:val="00B400A4"/>
    <w:rsid w:val="00BB6078"/>
    <w:rsid w:val="00BE3E0E"/>
    <w:rsid w:val="00C077BB"/>
    <w:rsid w:val="00C211B6"/>
    <w:rsid w:val="00CD766F"/>
    <w:rsid w:val="00D4356C"/>
    <w:rsid w:val="00D74EFE"/>
    <w:rsid w:val="00E4378E"/>
    <w:rsid w:val="00EC6AB1"/>
    <w:rsid w:val="00F143A4"/>
    <w:rsid w:val="00F2703A"/>
    <w:rsid w:val="00F66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5144A2"/>
  <w15:chartTrackingRefBased/>
  <w15:docId w15:val="{36E8F772-7493-4F6B-9472-CC563CA5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845"/>
  </w:style>
  <w:style w:type="paragraph" w:styleId="Heading1">
    <w:name w:val="heading 1"/>
    <w:basedOn w:val="Normal"/>
    <w:next w:val="Normal"/>
    <w:link w:val="Heading1Char"/>
    <w:uiPriority w:val="9"/>
    <w:qFormat/>
    <w:rsid w:val="009568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68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68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68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68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68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68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68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68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8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68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68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68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68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68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8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8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845"/>
    <w:rPr>
      <w:rFonts w:eastAsiaTheme="majorEastAsia" w:cstheme="majorBidi"/>
      <w:color w:val="272727" w:themeColor="text1" w:themeTint="D8"/>
    </w:rPr>
  </w:style>
  <w:style w:type="paragraph" w:styleId="Title">
    <w:name w:val="Title"/>
    <w:basedOn w:val="Normal"/>
    <w:next w:val="Normal"/>
    <w:link w:val="TitleChar"/>
    <w:uiPriority w:val="10"/>
    <w:qFormat/>
    <w:rsid w:val="009568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8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8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68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845"/>
    <w:pPr>
      <w:spacing w:before="160"/>
      <w:jc w:val="center"/>
    </w:pPr>
    <w:rPr>
      <w:i/>
      <w:iCs/>
      <w:color w:val="404040" w:themeColor="text1" w:themeTint="BF"/>
    </w:rPr>
  </w:style>
  <w:style w:type="character" w:customStyle="1" w:styleId="QuoteChar">
    <w:name w:val="Quote Char"/>
    <w:basedOn w:val="DefaultParagraphFont"/>
    <w:link w:val="Quote"/>
    <w:uiPriority w:val="29"/>
    <w:rsid w:val="00956845"/>
    <w:rPr>
      <w:i/>
      <w:iCs/>
      <w:color w:val="404040" w:themeColor="text1" w:themeTint="BF"/>
    </w:rPr>
  </w:style>
  <w:style w:type="paragraph" w:styleId="ListParagraph">
    <w:name w:val="List Paragraph"/>
    <w:basedOn w:val="Normal"/>
    <w:uiPriority w:val="34"/>
    <w:qFormat/>
    <w:rsid w:val="00956845"/>
    <w:pPr>
      <w:ind w:left="720"/>
      <w:contextualSpacing/>
    </w:pPr>
  </w:style>
  <w:style w:type="character" w:styleId="IntenseEmphasis">
    <w:name w:val="Intense Emphasis"/>
    <w:basedOn w:val="DefaultParagraphFont"/>
    <w:uiPriority w:val="21"/>
    <w:qFormat/>
    <w:rsid w:val="00956845"/>
    <w:rPr>
      <w:i/>
      <w:iCs/>
      <w:color w:val="0F4761" w:themeColor="accent1" w:themeShade="BF"/>
    </w:rPr>
  </w:style>
  <w:style w:type="paragraph" w:styleId="IntenseQuote">
    <w:name w:val="Intense Quote"/>
    <w:basedOn w:val="Normal"/>
    <w:next w:val="Normal"/>
    <w:link w:val="IntenseQuoteChar"/>
    <w:uiPriority w:val="30"/>
    <w:qFormat/>
    <w:rsid w:val="00956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6845"/>
    <w:rPr>
      <w:i/>
      <w:iCs/>
      <w:color w:val="0F4761" w:themeColor="accent1" w:themeShade="BF"/>
    </w:rPr>
  </w:style>
  <w:style w:type="character" w:styleId="IntenseReference">
    <w:name w:val="Intense Reference"/>
    <w:basedOn w:val="DefaultParagraphFont"/>
    <w:uiPriority w:val="32"/>
    <w:qFormat/>
    <w:rsid w:val="00956845"/>
    <w:rPr>
      <w:b/>
      <w:bCs/>
      <w:smallCaps/>
      <w:color w:val="0F4761" w:themeColor="accent1" w:themeShade="BF"/>
      <w:spacing w:val="5"/>
    </w:rPr>
  </w:style>
  <w:style w:type="paragraph" w:styleId="Header">
    <w:name w:val="header"/>
    <w:basedOn w:val="Normal"/>
    <w:link w:val="HeaderChar"/>
    <w:uiPriority w:val="99"/>
    <w:unhideWhenUsed/>
    <w:rsid w:val="009568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845"/>
  </w:style>
  <w:style w:type="table" w:styleId="TableGrid">
    <w:name w:val="Table Grid"/>
    <w:basedOn w:val="TableNormal"/>
    <w:uiPriority w:val="39"/>
    <w:rsid w:val="00956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6845"/>
    <w:rPr>
      <w:sz w:val="16"/>
      <w:szCs w:val="16"/>
    </w:rPr>
  </w:style>
  <w:style w:type="paragraph" w:styleId="CommentText">
    <w:name w:val="annotation text"/>
    <w:basedOn w:val="Normal"/>
    <w:link w:val="CommentTextChar"/>
    <w:uiPriority w:val="99"/>
    <w:unhideWhenUsed/>
    <w:rsid w:val="00956845"/>
    <w:pPr>
      <w:spacing w:line="240" w:lineRule="auto"/>
    </w:pPr>
    <w:rPr>
      <w:sz w:val="20"/>
      <w:szCs w:val="20"/>
    </w:rPr>
  </w:style>
  <w:style w:type="character" w:customStyle="1" w:styleId="CommentTextChar">
    <w:name w:val="Comment Text Char"/>
    <w:basedOn w:val="DefaultParagraphFont"/>
    <w:link w:val="CommentText"/>
    <w:uiPriority w:val="99"/>
    <w:rsid w:val="00956845"/>
    <w:rPr>
      <w:sz w:val="20"/>
      <w:szCs w:val="20"/>
    </w:rPr>
  </w:style>
  <w:style w:type="character" w:styleId="Hyperlink">
    <w:name w:val="Hyperlink"/>
    <w:basedOn w:val="DefaultParagraphFont"/>
    <w:uiPriority w:val="99"/>
    <w:unhideWhenUsed/>
    <w:rsid w:val="00956845"/>
    <w:rPr>
      <w:color w:val="467886" w:themeColor="hyperlink"/>
      <w:u w:val="single"/>
    </w:rPr>
  </w:style>
  <w:style w:type="paragraph" w:styleId="NormalWeb">
    <w:name w:val="Normal (Web)"/>
    <w:basedOn w:val="Normal"/>
    <w:uiPriority w:val="99"/>
    <w:unhideWhenUsed/>
    <w:rsid w:val="0095684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56845"/>
    <w:rPr>
      <w:b/>
      <w:bCs/>
    </w:rPr>
  </w:style>
  <w:style w:type="paragraph" w:styleId="Revision">
    <w:name w:val="Revision"/>
    <w:hidden/>
    <w:uiPriority w:val="99"/>
    <w:semiHidden/>
    <w:rsid w:val="00956845"/>
    <w:pPr>
      <w:spacing w:after="0" w:line="240" w:lineRule="auto"/>
    </w:pPr>
  </w:style>
  <w:style w:type="character" w:styleId="FollowedHyperlink">
    <w:name w:val="FollowedHyperlink"/>
    <w:basedOn w:val="DefaultParagraphFont"/>
    <w:uiPriority w:val="99"/>
    <w:semiHidden/>
    <w:unhideWhenUsed/>
    <w:rsid w:val="006C6C2B"/>
    <w:rPr>
      <w:color w:val="96607D" w:themeColor="followedHyperlink"/>
      <w:u w:val="single"/>
    </w:rPr>
  </w:style>
  <w:style w:type="character" w:styleId="UnresolvedMention">
    <w:name w:val="Unresolved Mention"/>
    <w:basedOn w:val="DefaultParagraphFont"/>
    <w:uiPriority w:val="99"/>
    <w:semiHidden/>
    <w:unhideWhenUsed/>
    <w:rsid w:val="001C19D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06FE1"/>
    <w:rPr>
      <w:b/>
      <w:bCs/>
    </w:rPr>
  </w:style>
  <w:style w:type="character" w:customStyle="1" w:styleId="CommentSubjectChar">
    <w:name w:val="Comment Subject Char"/>
    <w:basedOn w:val="CommentTextChar"/>
    <w:link w:val="CommentSubject"/>
    <w:uiPriority w:val="99"/>
    <w:semiHidden/>
    <w:rsid w:val="00306FE1"/>
    <w:rPr>
      <w:b/>
      <w:bCs/>
      <w:sz w:val="20"/>
      <w:szCs w:val="20"/>
    </w:rPr>
  </w:style>
  <w:style w:type="paragraph" w:styleId="Footer">
    <w:name w:val="footer"/>
    <w:basedOn w:val="Normal"/>
    <w:link w:val="FooterChar"/>
    <w:uiPriority w:val="99"/>
    <w:unhideWhenUsed/>
    <w:rsid w:val="00C21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454064">
      <w:bodyDiv w:val="1"/>
      <w:marLeft w:val="0"/>
      <w:marRight w:val="0"/>
      <w:marTop w:val="0"/>
      <w:marBottom w:val="0"/>
      <w:divBdr>
        <w:top w:val="none" w:sz="0" w:space="0" w:color="auto"/>
        <w:left w:val="none" w:sz="0" w:space="0" w:color="auto"/>
        <w:bottom w:val="none" w:sz="0" w:space="0" w:color="auto"/>
        <w:right w:val="none" w:sz="0" w:space="0" w:color="auto"/>
      </w:divBdr>
    </w:div>
    <w:div w:id="127089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spe.org/pharmaceutical-engineering/september-october-2023/risk-management-avoidance-drug-shortag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ispe.org/pharmaceutical-engineering/september-october-2024/global-convergence-opportunit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spe.org/pharmaceutical-engineering/ispeak/holistic-mindset-key-supply-resiliency"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ispe.org/pharmaceutical-engineering/january-february-2021/business-continuity-planning-prevent-drug"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spe.org/pharmaceutical-engineering/september-october-2024/global-convergence-opportuniti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742EF4016A9544B6A15B88835A8D31" ma:contentTypeVersion="11" ma:contentTypeDescription="Create a new document." ma:contentTypeScope="" ma:versionID="6766b3504d30186f84537297513ae927">
  <xsd:schema xmlns:xsd="http://www.w3.org/2001/XMLSchema" xmlns:xs="http://www.w3.org/2001/XMLSchema" xmlns:p="http://schemas.microsoft.com/office/2006/metadata/properties" xmlns:ns2="a3c4dfaa-3c20-442d-8f4e-da4f715982e8" xmlns:ns3="6a12aab8-b0ff-4727-8448-ad62d66df384" targetNamespace="http://schemas.microsoft.com/office/2006/metadata/properties" ma:root="true" ma:fieldsID="75985db8ba162e0e00557546fb31dcf6" ns2:_="" ns3:_="">
    <xsd:import namespace="a3c4dfaa-3c20-442d-8f4e-da4f715982e8"/>
    <xsd:import namespace="6a12aab8-b0ff-4727-8448-ad62d66df38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4dfaa-3c20-442d-8f4e-da4f715982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24a1ca0-94a0-49da-8387-66537477a47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12aab8-b0ff-4727-8448-ad62d66df38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dc3cb9-a04e-47e2-8a9f-7b3da929b692}" ma:internalName="TaxCatchAll" ma:showField="CatchAllData" ma:web="6a12aab8-b0ff-4727-8448-ad62d66df3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c4dfaa-3c20-442d-8f4e-da4f715982e8">
      <Terms xmlns="http://schemas.microsoft.com/office/infopath/2007/PartnerControls"/>
    </lcf76f155ced4ddcb4097134ff3c332f>
    <TaxCatchAll xmlns="6a12aab8-b0ff-4727-8448-ad62d66df3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86A2DF-ECD7-4A4C-9280-7B9351FA4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4dfaa-3c20-442d-8f4e-da4f715982e8"/>
    <ds:schemaRef ds:uri="6a12aab8-b0ff-4727-8448-ad62d66df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168E1D-E8BD-4DBD-A1E6-F4895756101F}">
  <ds:schemaRefs>
    <ds:schemaRef ds:uri="http://schemas.microsoft.com/office/2006/metadata/properties"/>
    <ds:schemaRef ds:uri="http://schemas.microsoft.com/office/infopath/2007/PartnerControls"/>
    <ds:schemaRef ds:uri="a3c4dfaa-3c20-442d-8f4e-da4f715982e8"/>
    <ds:schemaRef ds:uri="6a12aab8-b0ff-4727-8448-ad62d66df384"/>
  </ds:schemaRefs>
</ds:datastoreItem>
</file>

<file path=customXml/itemProps3.xml><?xml version="1.0" encoding="utf-8"?>
<ds:datastoreItem xmlns:ds="http://schemas.openxmlformats.org/officeDocument/2006/customXml" ds:itemID="{8FEF58B5-7865-40D2-B219-20887586DB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5009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Links>
    <vt:vector size="30" baseType="variant">
      <vt:variant>
        <vt:i4>7667812</vt:i4>
      </vt:variant>
      <vt:variant>
        <vt:i4>12</vt:i4>
      </vt:variant>
      <vt:variant>
        <vt:i4>0</vt:i4>
      </vt:variant>
      <vt:variant>
        <vt:i4>5</vt:i4>
      </vt:variant>
      <vt:variant>
        <vt:lpwstr>https://ispe.org/pharmaceutical-engineering/september-october-2024/global-convergence-opportunities</vt:lpwstr>
      </vt:variant>
      <vt:variant>
        <vt:lpwstr/>
      </vt:variant>
      <vt:variant>
        <vt:i4>7929976</vt:i4>
      </vt:variant>
      <vt:variant>
        <vt:i4>9</vt:i4>
      </vt:variant>
      <vt:variant>
        <vt:i4>0</vt:i4>
      </vt:variant>
      <vt:variant>
        <vt:i4>5</vt:i4>
      </vt:variant>
      <vt:variant>
        <vt:lpwstr>https://ispe.org/pharmaceutical-engineering/september-october-2023/risk-management-avoidance-drug-shortages</vt:lpwstr>
      </vt:variant>
      <vt:variant>
        <vt:lpwstr/>
      </vt:variant>
      <vt:variant>
        <vt:i4>7667812</vt:i4>
      </vt:variant>
      <vt:variant>
        <vt:i4>6</vt:i4>
      </vt:variant>
      <vt:variant>
        <vt:i4>0</vt:i4>
      </vt:variant>
      <vt:variant>
        <vt:i4>5</vt:i4>
      </vt:variant>
      <vt:variant>
        <vt:lpwstr>https://ispe.org/pharmaceutical-engineering/september-october-2024/global-convergence-opportunities</vt:lpwstr>
      </vt:variant>
      <vt:variant>
        <vt:lpwstr/>
      </vt:variant>
      <vt:variant>
        <vt:i4>4522065</vt:i4>
      </vt:variant>
      <vt:variant>
        <vt:i4>3</vt:i4>
      </vt:variant>
      <vt:variant>
        <vt:i4>0</vt:i4>
      </vt:variant>
      <vt:variant>
        <vt:i4>5</vt:i4>
      </vt:variant>
      <vt:variant>
        <vt:lpwstr>https://ispe.org/pharmaceutical-engineering/ispeak/holistic-mindset-key-supply-resiliency</vt:lpwstr>
      </vt:variant>
      <vt:variant>
        <vt:lpwstr/>
      </vt:variant>
      <vt:variant>
        <vt:i4>2162742</vt:i4>
      </vt:variant>
      <vt:variant>
        <vt:i4>0</vt:i4>
      </vt:variant>
      <vt:variant>
        <vt:i4>0</vt:i4>
      </vt:variant>
      <vt:variant>
        <vt:i4>5</vt:i4>
      </vt:variant>
      <vt:variant>
        <vt:lpwstr>https://ispe.org/pharmaceutical-engineering/january-february-2021/business-continuity-planning-prevent-drug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Hustead, Diane</dc:creator>
  <cp:keywords/>
  <dc:description/>
  <cp:lastModifiedBy>Wendy McGhee</cp:lastModifiedBy>
  <cp:revision>3</cp:revision>
  <dcterms:created xsi:type="dcterms:W3CDTF">2025-03-03T20:27:00Z</dcterms:created>
  <dcterms:modified xsi:type="dcterms:W3CDTF">2025-03-03T20:28:00Z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1acc0d-dcc4-4dc9-a2c5-be70b05a2fe6_Enabled">
    <vt:lpwstr>true</vt:lpwstr>
  </property>
  <property fmtid="{D5CDD505-2E9C-101B-9397-08002B2CF9AE}" pid="3" name="MSIP_Label_e81acc0d-dcc4-4dc9-a2c5-be70b05a2fe6_SetDate">
    <vt:lpwstr>2025-02-27T20:21:50Z</vt:lpwstr>
  </property>
  <property fmtid="{D5CDD505-2E9C-101B-9397-08002B2CF9AE}" pid="4" name="MSIP_Label_e81acc0d-dcc4-4dc9-a2c5-be70b05a2fe6_Method">
    <vt:lpwstr>Privileged</vt:lpwstr>
  </property>
  <property fmtid="{D5CDD505-2E9C-101B-9397-08002B2CF9AE}" pid="5" name="MSIP_Label_e81acc0d-dcc4-4dc9-a2c5-be70b05a2fe6_Name">
    <vt:lpwstr>e81acc0d-dcc4-4dc9-a2c5-be70b05a2fe6</vt:lpwstr>
  </property>
  <property fmtid="{D5CDD505-2E9C-101B-9397-08002B2CF9AE}" pid="6" name="MSIP_Label_e81acc0d-dcc4-4dc9-a2c5-be70b05a2fe6_SiteId">
    <vt:lpwstr>a00de4ec-48a8-43a6-be74-e31274e2060d</vt:lpwstr>
  </property>
  <property fmtid="{D5CDD505-2E9C-101B-9397-08002B2CF9AE}" pid="7" name="MSIP_Label_e81acc0d-dcc4-4dc9-a2c5-be70b05a2fe6_ActionId">
    <vt:lpwstr>1e59312e-ee52-418d-92b1-019752341cf7</vt:lpwstr>
  </property>
  <property fmtid="{D5CDD505-2E9C-101B-9397-08002B2CF9AE}" pid="8" name="MSIP_Label_e81acc0d-dcc4-4dc9-a2c5-be70b05a2fe6_ContentBits">
    <vt:lpwstr>0</vt:lpwstr>
  </property>
  <property fmtid="{D5CDD505-2E9C-101B-9397-08002B2CF9AE}" pid="9" name="MSIP_Label_e81acc0d-dcc4-4dc9-a2c5-be70b05a2fe6_Tag">
    <vt:lpwstr>10, 0, 1, 1</vt:lpwstr>
  </property>
  <property fmtid="{D5CDD505-2E9C-101B-9397-08002B2CF9AE}" pid="10" name="ContentTypeId">
    <vt:lpwstr>0x010100AD742EF4016A9544B6A15B88835A8D31</vt:lpwstr>
  </property>
  <property fmtid="{D5CDD505-2E9C-101B-9397-08002B2CF9AE}" pid="11" name="MediaServiceImageTags">
    <vt:lpwstr/>
  </property>
</Properties>
</file>